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C8E3BA2" w14:textId="77777777">
        <w:trPr>
          <w:trHeight w:val="1059"/>
        </w:trPr>
        <w:tc>
          <w:tcPr>
            <w:tcW w:w="1250" w:type="pct"/>
          </w:tcPr>
          <w:p w14:paraId="0635A1F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0640C3" w14:textId="7777777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4802C26D" w14:textId="1C72B19C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(North</w:t>
            </w:r>
            <w:r w:rsidR="00B93194">
              <w:rPr>
                <w:rFonts w:ascii="Tahoma" w:hAnsi="Tahoma" w:cs="Tahoma"/>
                <w:sz w:val="20"/>
                <w:szCs w:val="20"/>
              </w:rPr>
              <w:t>west, Northeast &amp; West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29227D0" w14:textId="6D3587A4" w:rsidR="00096363" w:rsidRPr="00CB255A" w:rsidRDefault="00B728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8B">
              <w:rPr>
                <w:rFonts w:ascii="Tahoma" w:hAnsi="Tahoma" w:cs="Tahoma"/>
                <w:sz w:val="20"/>
                <w:szCs w:val="20"/>
              </w:rPr>
              <w:t>CA-</w:t>
            </w:r>
            <w:r w:rsidR="00384E07">
              <w:rPr>
                <w:rFonts w:ascii="Tahoma" w:hAnsi="Tahoma" w:cs="Tahoma"/>
                <w:sz w:val="20"/>
                <w:szCs w:val="20"/>
              </w:rPr>
              <w:t>MNF-000753</w:t>
            </w:r>
          </w:p>
        </w:tc>
        <w:tc>
          <w:tcPr>
            <w:tcW w:w="1250" w:type="pct"/>
          </w:tcPr>
          <w:p w14:paraId="4C0E36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410721" w14:textId="635DF536" w:rsidR="00096363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tina.rotenbury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51BB72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6CC920" w14:textId="78EFA3E1" w:rsidR="00865A8D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Mendocino</w:t>
            </w:r>
            <w:r w:rsidR="00865A8D" w:rsidRPr="00865A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1DC53A" w14:textId="10A3597A" w:rsidR="009748D6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530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934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7758</w:t>
            </w:r>
          </w:p>
        </w:tc>
        <w:tc>
          <w:tcPr>
            <w:tcW w:w="1250" w:type="pct"/>
          </w:tcPr>
          <w:p w14:paraId="54240B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692794C" w14:textId="508196F9" w:rsidR="00CF44DE" w:rsidRPr="00CB255A" w:rsidRDefault="007014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TABLE BELOW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16D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F4A3E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E40F1EF" w14:textId="16899D0F" w:rsidR="00CF44DE" w:rsidRPr="00CB255A" w:rsidRDefault="00CF44DE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1BE4EA9" w14:textId="77777777">
        <w:trPr>
          <w:trHeight w:val="1059"/>
        </w:trPr>
        <w:tc>
          <w:tcPr>
            <w:tcW w:w="1250" w:type="pct"/>
          </w:tcPr>
          <w:p w14:paraId="57929F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62554B5" w14:textId="6FB0050E" w:rsidR="00CF44DE" w:rsidRPr="00CB255A" w:rsidRDefault="003303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2045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85BBC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61BD0C" w14:textId="2129B16F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33035C">
              <w:rPr>
                <w:rFonts w:ascii="Tahoma" w:hAnsi="Tahoma" w:cs="Tahoma"/>
                <w:sz w:val="20"/>
                <w:szCs w:val="20"/>
              </w:rPr>
              <w:t>07</w:t>
            </w:r>
            <w:r w:rsidR="00CF44DE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A9E2F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18E600A" w14:textId="2E52F751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6E0718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13E21CB" w14:textId="0610CAC0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67A32E3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306956" w14:textId="3D654077" w:rsidR="00BD0A6F" w:rsidRPr="001260F4" w:rsidRDefault="004A5F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260F4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2E4610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0EF8174" w14:textId="2A950F6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F4610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DFA1537" w14:textId="160FF6EE" w:rsidR="00BD0A6F" w:rsidRDefault="00F546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4E0C8F1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DA09FF" w14:textId="49E8EF2B" w:rsidR="009748D6" w:rsidRPr="00CB255A" w:rsidRDefault="00F546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0D6DB1DC" w14:textId="77777777">
        <w:trPr>
          <w:trHeight w:val="528"/>
        </w:trPr>
        <w:tc>
          <w:tcPr>
            <w:tcW w:w="1250" w:type="pct"/>
          </w:tcPr>
          <w:p w14:paraId="4CDC66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CF73E11" w14:textId="6619052A" w:rsidR="00AF7AAA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CA-MNF</w:t>
            </w:r>
          </w:p>
          <w:p w14:paraId="3E5F179D" w14:textId="314A6230" w:rsidR="009748D6" w:rsidRPr="00CB255A" w:rsidRDefault="00D205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Karen Short 406-396-9147</w:t>
            </w:r>
          </w:p>
        </w:tc>
        <w:tc>
          <w:tcPr>
            <w:tcW w:w="1250" w:type="pct"/>
          </w:tcPr>
          <w:p w14:paraId="6119B48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2F9EB9" w14:textId="383FDA4B" w:rsidR="009748D6" w:rsidRPr="00CB255A" w:rsidRDefault="00786130" w:rsidP="00B31C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07CAB">
              <w:rPr>
                <w:rFonts w:ascii="Tahoma" w:hAnsi="Tahoma" w:cs="Tahoma"/>
                <w:sz w:val="20"/>
                <w:szCs w:val="20"/>
              </w:rPr>
              <w:t>2</w:t>
            </w:r>
            <w:r w:rsidR="00B93194">
              <w:rPr>
                <w:rFonts w:ascii="Tahoma" w:hAnsi="Tahoma" w:cs="Tahoma"/>
                <w:sz w:val="20"/>
                <w:szCs w:val="20"/>
              </w:rPr>
              <w:t>8</w:t>
            </w:r>
            <w:r w:rsidR="00D2054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67E8E6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CDE331A" w14:textId="1177729F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Tenax </w:t>
            </w:r>
            <w:r w:rsidR="00E90B45">
              <w:rPr>
                <w:rFonts w:ascii="Tahoma" w:hAnsi="Tahoma" w:cs="Tahoma"/>
                <w:sz w:val="20"/>
                <w:szCs w:val="20"/>
              </w:rPr>
              <w:t>N</w:t>
            </w:r>
            <w:r w:rsidR="00AD0533">
              <w:rPr>
                <w:rFonts w:ascii="Tahoma" w:hAnsi="Tahoma" w:cs="Tahoma"/>
                <w:sz w:val="20"/>
                <w:szCs w:val="20"/>
              </w:rPr>
              <w:t xml:space="preserve">350FV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Overwatch </w:t>
            </w:r>
            <w:r w:rsidR="00AD0533"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250" w:type="pct"/>
          </w:tcPr>
          <w:p w14:paraId="235B5E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25E30E0" w14:textId="66ADEEB2" w:rsidR="00873F64" w:rsidRDefault="001C7958" w:rsidP="00873F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Doug Stevens/Andy Hussman</w:t>
            </w:r>
          </w:p>
          <w:p w14:paraId="0341C6A1" w14:textId="723497BC" w:rsidR="009748D6" w:rsidRPr="00CB255A" w:rsidRDefault="00AF7AAA" w:rsidP="00873F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5D39DB">
              <w:rPr>
                <w:rFonts w:ascii="Tahoma" w:hAnsi="Tahoma" w:cs="Tahoma"/>
                <w:sz w:val="20"/>
                <w:szCs w:val="20"/>
              </w:rPr>
              <w:t>Kelsey</w:t>
            </w:r>
            <w:r w:rsidR="001C7958">
              <w:rPr>
                <w:rFonts w:ascii="Tahoma" w:hAnsi="Tahoma" w:cs="Tahoma"/>
                <w:sz w:val="20"/>
                <w:szCs w:val="20"/>
              </w:rPr>
              <w:t xml:space="preserve"> Ramsey</w:t>
            </w:r>
          </w:p>
        </w:tc>
      </w:tr>
      <w:tr w:rsidR="009748D6" w:rsidRPr="000309F5" w14:paraId="25C4517B" w14:textId="77777777">
        <w:trPr>
          <w:trHeight w:val="630"/>
        </w:trPr>
        <w:tc>
          <w:tcPr>
            <w:tcW w:w="1250" w:type="pct"/>
            <w:gridSpan w:val="2"/>
          </w:tcPr>
          <w:p w14:paraId="444CEE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5B5B51" w14:textId="32599716" w:rsidR="00142DC7" w:rsidRPr="0082133A" w:rsidRDefault="00B93194" w:rsidP="00B10D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Passes. </w:t>
            </w:r>
            <w:r w:rsidR="00E37A8A">
              <w:rPr>
                <w:rFonts w:ascii="Tahoma" w:hAnsi="Tahoma" w:cs="Tahoma"/>
                <w:bCs/>
                <w:sz w:val="20"/>
                <w:szCs w:val="20"/>
              </w:rPr>
              <w:t>Imagery was good.</w:t>
            </w:r>
            <w:r w:rsidR="0007306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B260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>The 5m resolution worked well.</w:t>
            </w:r>
            <w:r w:rsidR="00BB544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 Imagery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requir</w:t>
            </w:r>
            <w:r w:rsidR="00FB2112">
              <w:rPr>
                <w:rFonts w:ascii="Tahoma" w:hAnsi="Tahoma" w:cs="Tahoma"/>
                <w:bCs/>
                <w:sz w:val="20"/>
                <w:szCs w:val="20"/>
              </w:rPr>
              <w:t>ed minor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orthorectification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 in areas.</w:t>
            </w:r>
          </w:p>
        </w:tc>
        <w:tc>
          <w:tcPr>
            <w:tcW w:w="1250" w:type="pct"/>
          </w:tcPr>
          <w:p w14:paraId="09CB1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B62673" w14:textId="0AD0BA86" w:rsidR="009748D6" w:rsidRPr="00CB255A" w:rsidRDefault="00BB6E12" w:rsidP="002F4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EDE8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6EB8E70" w14:textId="307A0EBC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a heat perimeter and intensities of heat</w:t>
            </w:r>
          </w:p>
        </w:tc>
      </w:tr>
      <w:tr w:rsidR="009748D6" w:rsidRPr="000309F5" w14:paraId="13A0179D" w14:textId="77777777">
        <w:trPr>
          <w:trHeight w:val="614"/>
        </w:trPr>
        <w:tc>
          <w:tcPr>
            <w:tcW w:w="1250" w:type="pct"/>
            <w:gridSpan w:val="2"/>
          </w:tcPr>
          <w:p w14:paraId="7776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BF15777" w14:textId="50A0E0E8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33035C">
              <w:rPr>
                <w:rFonts w:ascii="Tahoma" w:hAnsi="Tahoma" w:cs="Tahoma"/>
                <w:sz w:val="20"/>
                <w:szCs w:val="20"/>
              </w:rPr>
              <w:t>07</w:t>
            </w:r>
            <w:r w:rsidR="00AA6E7E">
              <w:rPr>
                <w:rFonts w:ascii="Tahoma" w:hAnsi="Tahoma" w:cs="Tahoma"/>
                <w:sz w:val="20"/>
                <w:szCs w:val="20"/>
              </w:rPr>
              <w:t>/</w:t>
            </w:r>
            <w:r w:rsidR="0006436A">
              <w:rPr>
                <w:rFonts w:ascii="Tahoma" w:hAnsi="Tahoma" w:cs="Tahoma"/>
                <w:sz w:val="20"/>
                <w:szCs w:val="20"/>
              </w:rPr>
              <w:t xml:space="preserve">2020 @ </w:t>
            </w:r>
            <w:r w:rsidR="00A5652C">
              <w:rPr>
                <w:rFonts w:ascii="Tahoma" w:hAnsi="Tahoma" w:cs="Tahoma"/>
                <w:sz w:val="20"/>
                <w:szCs w:val="20"/>
              </w:rPr>
              <w:t>2</w:t>
            </w:r>
            <w:r w:rsidR="00E24BBC">
              <w:rPr>
                <w:rFonts w:ascii="Tahoma" w:hAnsi="Tahoma" w:cs="Tahoma"/>
                <w:sz w:val="20"/>
                <w:szCs w:val="20"/>
              </w:rPr>
              <w:t>2</w:t>
            </w:r>
            <w:r w:rsidR="00733C2F">
              <w:rPr>
                <w:rFonts w:ascii="Tahoma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  <w:r w:rsidR="00776B77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58A8">
              <w:rPr>
                <w:rFonts w:ascii="Tahoma" w:hAnsi="Tahoma" w:cs="Tahoma"/>
                <w:sz w:val="20"/>
                <w:szCs w:val="20"/>
              </w:rPr>
              <w:t>P</w:t>
            </w:r>
            <w:r w:rsidR="007D74A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4B521E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70741F4" w14:textId="77777777" w:rsidR="00786130" w:rsidRDefault="001260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0F4">
              <w:rPr>
                <w:rFonts w:ascii="Tahoma" w:hAnsi="Tahoma" w:cs="Tahoma"/>
                <w:sz w:val="20"/>
                <w:szCs w:val="20"/>
              </w:rPr>
              <w:t>Shape Files, PDF Maps, IR Interpreters Log and KMZ</w:t>
            </w:r>
            <w:r w:rsidR="007861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B12814" w14:textId="77777777" w:rsidR="00865A8D" w:rsidRPr="00865A8D" w:rsidRDefault="006D53AE" w:rsidP="00865A8D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B728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5A8D" w:rsidRPr="00865A8D">
              <w:rPr>
                <w:rFonts w:ascii="Tahoma" w:hAnsi="Tahoma" w:cs="Tahoma"/>
                <w:bCs/>
                <w:sz w:val="18"/>
                <w:szCs w:val="18"/>
              </w:rPr>
              <w:t>https://ftp.nifc.gov/public/incident_specific_data/calif</w:t>
            </w:r>
          </w:p>
          <w:p w14:paraId="5CA3D144" w14:textId="06D7596B" w:rsidR="009748D6" w:rsidRPr="001260F4" w:rsidRDefault="00865A8D" w:rsidP="00865A8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65A8D">
              <w:rPr>
                <w:rFonts w:ascii="Tahoma" w:hAnsi="Tahoma" w:cs="Tahoma"/>
                <w:bCs/>
                <w:sz w:val="18"/>
                <w:szCs w:val="18"/>
              </w:rPr>
              <w:t>_n/!2020_FEDERAL_Incidents/CA-MNF000753_August_Complex/IR/</w:t>
            </w:r>
            <w:r w:rsidR="00AF7AAA">
              <w:rPr>
                <w:rFonts w:ascii="Tahoma" w:hAnsi="Tahoma" w:cs="Tahoma"/>
                <w:bCs/>
                <w:sz w:val="18"/>
                <w:szCs w:val="18"/>
              </w:rPr>
              <w:t>NIROPS</w:t>
            </w:r>
          </w:p>
        </w:tc>
      </w:tr>
      <w:tr w:rsidR="009748D6" w:rsidRPr="000309F5" w14:paraId="565145FA" w14:textId="77777777">
        <w:trPr>
          <w:trHeight w:val="614"/>
        </w:trPr>
        <w:tc>
          <w:tcPr>
            <w:tcW w:w="1250" w:type="pct"/>
            <w:gridSpan w:val="2"/>
          </w:tcPr>
          <w:p w14:paraId="7FB6A9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D9D9138" w14:textId="13B9BF37" w:rsidR="00FA1A17" w:rsidRPr="00CB255A" w:rsidRDefault="00130F66" w:rsidP="00A565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9D1255">
              <w:rPr>
                <w:rFonts w:ascii="Tahoma" w:hAnsi="Tahoma" w:cs="Tahoma"/>
                <w:sz w:val="20"/>
                <w:szCs w:val="20"/>
              </w:rPr>
              <w:t>08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BB6E12">
              <w:rPr>
                <w:rFonts w:ascii="Tahoma" w:hAnsi="Tahoma" w:cs="Tahoma"/>
                <w:sz w:val="20"/>
                <w:szCs w:val="20"/>
              </w:rPr>
              <w:t>0</w:t>
            </w:r>
            <w:r w:rsidR="009D1255">
              <w:rPr>
                <w:rFonts w:ascii="Tahoma" w:hAnsi="Tahoma" w:cs="Tahoma"/>
                <w:sz w:val="20"/>
                <w:szCs w:val="20"/>
              </w:rPr>
              <w:t>405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258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40D8C02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C95344" w14:textId="77777777">
        <w:trPr>
          <w:trHeight w:val="5275"/>
        </w:trPr>
        <w:tc>
          <w:tcPr>
            <w:tcW w:w="1250" w:type="pct"/>
            <w:gridSpan w:val="4"/>
          </w:tcPr>
          <w:p w14:paraId="06F67A8A" w14:textId="251CE1D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D870B0" w14:textId="308F0590" w:rsidR="003A0F58" w:rsidRDefault="00026991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interpretation with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B7C7C">
              <w:rPr>
                <w:rFonts w:ascii="Tahoma" w:hAnsi="Tahoma" w:cs="Tahoma"/>
                <w:bCs/>
                <w:sz w:val="20"/>
                <w:szCs w:val="20"/>
              </w:rPr>
              <w:t>Complex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="00113D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13DC9">
              <w:rPr>
                <w:rFonts w:ascii="Tahoma" w:hAnsi="Tahoma" w:cs="Tahoma"/>
                <w:bCs/>
                <w:sz w:val="20"/>
                <w:szCs w:val="20"/>
              </w:rPr>
              <w:t xml:space="preserve">pulled 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>from NIFS</w:t>
            </w:r>
            <w:r w:rsidR="00113DC9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1C7958">
              <w:rPr>
                <w:rFonts w:ascii="Tahoma" w:hAnsi="Tahoma" w:cs="Tahoma"/>
                <w:bCs/>
                <w:sz w:val="20"/>
                <w:szCs w:val="20"/>
              </w:rPr>
              <w:t>2040</w:t>
            </w:r>
            <w:r w:rsidR="00113DC9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  <w:r w:rsidR="006E72A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4D286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A0F58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E72A7">
              <w:rPr>
                <w:rFonts w:ascii="Tahoma" w:hAnsi="Tahoma" w:cs="Tahoma"/>
                <w:bCs/>
                <w:sz w:val="20"/>
                <w:szCs w:val="20"/>
              </w:rPr>
              <w:t>ee table for total complex acres by Zone.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14:paraId="11566186" w14:textId="77777777" w:rsidR="00956714" w:rsidRDefault="00701479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Zip files contain </w:t>
            </w:r>
            <w:r w:rsidR="00F64489">
              <w:rPr>
                <w:rFonts w:ascii="Tahoma" w:hAnsi="Tahoma" w:cs="Tahoma"/>
                <w:bCs/>
                <w:sz w:val="20"/>
                <w:szCs w:val="20"/>
              </w:rPr>
              <w:t xml:space="preserve">data for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ALL ZONES</w:t>
            </w:r>
            <w:r w:rsidR="00F64489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73F9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26A3A62B" w14:textId="06B60E7C" w:rsidR="00956714" w:rsidRDefault="00B93194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0B7C7C">
              <w:rPr>
                <w:rFonts w:ascii="Tahoma" w:hAnsi="Tahoma" w:cs="Tahoma"/>
                <w:bCs/>
                <w:sz w:val="20"/>
                <w:szCs w:val="20"/>
              </w:rPr>
              <w:t>cres for compl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ex based on IR interpretation: </w:t>
            </w:r>
          </w:p>
          <w:tbl>
            <w:tblPr>
              <w:tblW w:w="5024" w:type="dxa"/>
              <w:tblLayout w:type="fixed"/>
              <w:tblLook w:val="04A0" w:firstRow="1" w:lastRow="0" w:firstColumn="1" w:lastColumn="0" w:noHBand="0" w:noVBand="1"/>
            </w:tblPr>
            <w:tblGrid>
              <w:gridCol w:w="1967"/>
              <w:gridCol w:w="1441"/>
              <w:gridCol w:w="1616"/>
            </w:tblGrid>
            <w:tr w:rsidR="00956714" w14:paraId="1E1E4037" w14:textId="77777777" w:rsidTr="009D1255">
              <w:trPr>
                <w:trHeight w:val="520"/>
              </w:trPr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A8FA4" w14:textId="77777777" w:rsidR="00956714" w:rsidRDefault="00956714" w:rsidP="00956714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1" w:name="RANGE!A1:B5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Zone</w:t>
                  </w:r>
                  <w:bookmarkEnd w:id="1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5867B" w14:textId="77777777" w:rsidR="00956714" w:rsidRDefault="00956714" w:rsidP="00956714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4F8EB" w14:textId="77777777" w:rsidR="00956714" w:rsidRDefault="00956714" w:rsidP="00956714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Growth since last Period</w:t>
                  </w:r>
                </w:p>
              </w:tc>
            </w:tr>
            <w:tr w:rsidR="00956714" w14:paraId="24C39479" w14:textId="77777777" w:rsidTr="009D1255">
              <w:trPr>
                <w:trHeight w:val="283"/>
              </w:trPr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246BD" w14:textId="77777777" w:rsidR="00956714" w:rsidRDefault="00956714" w:rsidP="0095671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Northeast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08272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267,441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93BAF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2,294</w:t>
                  </w:r>
                </w:p>
              </w:tc>
            </w:tr>
            <w:tr w:rsidR="00956714" w14:paraId="7D1AECE7" w14:textId="77777777" w:rsidTr="009D1255">
              <w:trPr>
                <w:trHeight w:val="271"/>
              </w:trPr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3AF02" w14:textId="77777777" w:rsidR="00956714" w:rsidRDefault="00956714" w:rsidP="0095671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Northwest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DE3C0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77,048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718B0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2,093</w:t>
                  </w:r>
                </w:p>
              </w:tc>
            </w:tr>
            <w:tr w:rsidR="00956714" w14:paraId="1E6A7E12" w14:textId="77777777" w:rsidTr="009D1255">
              <w:trPr>
                <w:trHeight w:val="236"/>
              </w:trPr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F5960" w14:textId="77777777" w:rsidR="00956714" w:rsidRDefault="00956714" w:rsidP="0095671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South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46A4D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610,006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EEF2E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1,956</w:t>
                  </w:r>
                </w:p>
              </w:tc>
            </w:tr>
            <w:tr w:rsidR="00956714" w14:paraId="4AAD01BE" w14:textId="77777777" w:rsidTr="009D1255">
              <w:trPr>
                <w:trHeight w:val="236"/>
              </w:trPr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34184" w14:textId="77777777" w:rsidR="00956714" w:rsidRDefault="00956714" w:rsidP="0095671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West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56202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64,540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DC6B5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1,191</w:t>
                  </w:r>
                </w:p>
              </w:tc>
            </w:tr>
            <w:tr w:rsidR="00956714" w14:paraId="30F12593" w14:textId="77777777" w:rsidTr="009D1255">
              <w:trPr>
                <w:trHeight w:val="390"/>
              </w:trPr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8B6C1" w14:textId="77777777" w:rsidR="00956714" w:rsidRDefault="00956714" w:rsidP="00956714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 Complex Acres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7F70F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1,019,034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DD855" w14:textId="77777777" w:rsidR="00956714" w:rsidRDefault="00956714" w:rsidP="0095671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7,534</w:t>
                  </w:r>
                </w:p>
              </w:tc>
            </w:tr>
          </w:tbl>
          <w:p w14:paraId="4B82FE02" w14:textId="5A626C67" w:rsidR="000315C2" w:rsidRPr="00370CFA" w:rsidRDefault="000315C2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FFA325" w14:textId="770C9F03" w:rsidR="00BB544E" w:rsidRDefault="00130F66" w:rsidP="003A0F5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30F66">
              <w:rPr>
                <w:rFonts w:ascii="Tahoma" w:hAnsi="Tahoma" w:cs="Tahoma"/>
                <w:b/>
                <w:sz w:val="20"/>
                <w:szCs w:val="20"/>
              </w:rPr>
              <w:t>August Complex North</w:t>
            </w:r>
            <w:r w:rsidR="001C1E1C">
              <w:rPr>
                <w:rFonts w:ascii="Tahoma" w:hAnsi="Tahoma" w:cs="Tahoma"/>
                <w:b/>
                <w:sz w:val="20"/>
                <w:szCs w:val="20"/>
              </w:rPr>
              <w:t>east, Northwest &amp; West</w:t>
            </w:r>
            <w:r w:rsidRPr="00130F6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F027DD2" w14:textId="14871FC4" w:rsidR="009D16DE" w:rsidRDefault="006E1D03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mapped </w:t>
            </w:r>
            <w:r w:rsidR="000B7C7C">
              <w:rPr>
                <w:rFonts w:ascii="Tahoma" w:hAnsi="Tahoma" w:cs="Tahoma"/>
                <w:bCs/>
                <w:sz w:val="20"/>
                <w:szCs w:val="20"/>
              </w:rPr>
              <w:t>was mapped on the east and west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perimeter where </w:t>
            </w:r>
            <w:r w:rsidR="00673F95">
              <w:rPr>
                <w:rFonts w:ascii="Tahoma" w:hAnsi="Tahoma" w:cs="Tahoma"/>
                <w:bCs/>
                <w:sz w:val="20"/>
                <w:szCs w:val="20"/>
              </w:rPr>
              <w:t>firing operations occurred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0B7C7C">
              <w:rPr>
                <w:rFonts w:ascii="Tahoma" w:hAnsi="Tahoma" w:cs="Tahoma"/>
                <w:bCs/>
                <w:sz w:val="20"/>
                <w:szCs w:val="20"/>
              </w:rPr>
              <w:t>Scatter</w:t>
            </w:r>
            <w:r w:rsidR="00FA1A17">
              <w:rPr>
                <w:rFonts w:ascii="Tahoma" w:hAnsi="Tahoma" w:cs="Tahoma"/>
                <w:bCs/>
                <w:sz w:val="20"/>
                <w:szCs w:val="20"/>
              </w:rPr>
              <w:t xml:space="preserve"> heat located behind the intense heat as well as throughout the interior of the perimeter.  </w:t>
            </w:r>
            <w:r w:rsidR="00956714">
              <w:rPr>
                <w:rFonts w:ascii="Tahoma" w:hAnsi="Tahoma" w:cs="Tahoma"/>
                <w:bCs/>
                <w:sz w:val="20"/>
                <w:szCs w:val="20"/>
              </w:rPr>
              <w:t xml:space="preserve">Interior scattered heat has decreased but there remains the occasional </w:t>
            </w:r>
            <w:r w:rsidR="00FA1A17">
              <w:rPr>
                <w:rFonts w:ascii="Tahoma" w:hAnsi="Tahoma" w:cs="Tahoma"/>
                <w:bCs/>
                <w:sz w:val="20"/>
                <w:szCs w:val="20"/>
              </w:rPr>
              <w:t>Isolated heat</w:t>
            </w:r>
            <w:r w:rsidR="00956714">
              <w:rPr>
                <w:rFonts w:ascii="Tahoma" w:hAnsi="Tahoma" w:cs="Tahoma"/>
                <w:bCs/>
                <w:sz w:val="20"/>
                <w:szCs w:val="20"/>
              </w:rPr>
              <w:t xml:space="preserve"> source</w:t>
            </w:r>
            <w:r w:rsidR="00FE47A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 A </w:t>
            </w:r>
            <w:r w:rsidR="00956714">
              <w:rPr>
                <w:rFonts w:ascii="Tahoma" w:hAnsi="Tahoma" w:cs="Tahoma"/>
                <w:bCs/>
                <w:sz w:val="20"/>
                <w:szCs w:val="20"/>
              </w:rPr>
              <w:t>several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 were mapped </w:t>
            </w:r>
            <w:r w:rsidR="00956714">
              <w:rPr>
                <w:rFonts w:ascii="Tahoma" w:hAnsi="Tahoma" w:cs="Tahoma"/>
                <w:bCs/>
                <w:sz w:val="20"/>
                <w:szCs w:val="20"/>
              </w:rPr>
              <w:t>along the NE portion of the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="009D1255">
              <w:rPr>
                <w:rFonts w:ascii="Tahoma" w:hAnsi="Tahoma" w:cs="Tahoma"/>
                <w:bCs/>
                <w:sz w:val="20"/>
                <w:szCs w:val="20"/>
              </w:rPr>
              <w:t xml:space="preserve"> (Div M1/Div Q1/T1 near N. Yolla Bolly Mtn also in Div I1 near DP152)</w:t>
            </w:r>
          </w:p>
          <w:p w14:paraId="10C17CCE" w14:textId="77777777" w:rsidR="00701479" w:rsidRDefault="00701479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8F2D3E7" w14:textId="138FB584" w:rsidR="0058259E" w:rsidRDefault="00FA1A17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F77EBB">
              <w:rPr>
                <w:rFonts w:ascii="Tahoma" w:hAnsi="Tahoma" w:cs="Tahoma"/>
                <w:bCs/>
                <w:sz w:val="20"/>
                <w:szCs w:val="20"/>
              </w:rPr>
              <w:t xml:space="preserve"> SW portion of the West Zone has a few isolated heat</w:t>
            </w:r>
            <w:r w:rsidR="00833871">
              <w:rPr>
                <w:rFonts w:ascii="Tahoma" w:hAnsi="Tahoma" w:cs="Tahoma"/>
                <w:bCs/>
                <w:sz w:val="20"/>
                <w:szCs w:val="20"/>
              </w:rPr>
              <w:t xml:space="preserve"> points</w:t>
            </w:r>
            <w:r w:rsidR="00F77EBB">
              <w:rPr>
                <w:rFonts w:ascii="Tahoma" w:hAnsi="Tahoma" w:cs="Tahoma"/>
                <w:bCs/>
                <w:sz w:val="20"/>
                <w:szCs w:val="20"/>
              </w:rPr>
              <w:t xml:space="preserve"> mapped with a couple of small patches of scattered heat.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West Zone along the North/South break-line continues to expand to the south and east.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Brian Banks is assisting with mapping perimeter and heat in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 xml:space="preserve"> southern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area as I focus on the north and northwest portions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 xml:space="preserve"> of the perimeter.</w:t>
            </w:r>
          </w:p>
          <w:p w14:paraId="50617238" w14:textId="77777777" w:rsidR="0058259E" w:rsidRDefault="0058259E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424A20" w14:textId="7B9CFB4B" w:rsidR="000B7C7C" w:rsidRDefault="00751B12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Questions/</w:t>
            </w:r>
            <w:r w:rsidR="000B7C7C">
              <w:rPr>
                <w:rFonts w:ascii="Tahoma" w:hAnsi="Tahoma" w:cs="Tahoma"/>
                <w:bCs/>
                <w:sz w:val="20"/>
                <w:szCs w:val="20"/>
              </w:rPr>
              <w:t xml:space="preserve"> Comments – contact the interpreter via the contact info above.</w:t>
            </w:r>
          </w:p>
          <w:p w14:paraId="0543EDF8" w14:textId="77777777" w:rsidR="000B7C7C" w:rsidRDefault="000B7C7C" w:rsidP="00B258A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C7B722" w14:textId="5EF04230" w:rsidR="00751B12" w:rsidRPr="007D74A8" w:rsidRDefault="00751B12" w:rsidP="00B258A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68C2F3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AFC572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71B3" w14:textId="77777777" w:rsidR="00E82093" w:rsidRDefault="00E82093">
      <w:r>
        <w:separator/>
      </w:r>
    </w:p>
  </w:endnote>
  <w:endnote w:type="continuationSeparator" w:id="0">
    <w:p w14:paraId="3E9C93BF" w14:textId="77777777" w:rsidR="00E82093" w:rsidRDefault="00E8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5270" w14:textId="77777777" w:rsidR="00E82093" w:rsidRDefault="00E82093">
      <w:r>
        <w:separator/>
      </w:r>
    </w:p>
  </w:footnote>
  <w:footnote w:type="continuationSeparator" w:id="0">
    <w:p w14:paraId="316E5237" w14:textId="77777777" w:rsidR="00E82093" w:rsidRDefault="00E8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E0A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441"/>
    <w:multiLevelType w:val="hybridMultilevel"/>
    <w:tmpl w:val="B6D0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B71"/>
    <w:rsid w:val="00010BC6"/>
    <w:rsid w:val="00015B36"/>
    <w:rsid w:val="00026991"/>
    <w:rsid w:val="00027B3E"/>
    <w:rsid w:val="000309F5"/>
    <w:rsid w:val="000315C2"/>
    <w:rsid w:val="0006436A"/>
    <w:rsid w:val="0007306A"/>
    <w:rsid w:val="00096363"/>
    <w:rsid w:val="000B2F21"/>
    <w:rsid w:val="000B7C7C"/>
    <w:rsid w:val="000D721F"/>
    <w:rsid w:val="00100262"/>
    <w:rsid w:val="0010204B"/>
    <w:rsid w:val="00105493"/>
    <w:rsid w:val="00105747"/>
    <w:rsid w:val="00113DC9"/>
    <w:rsid w:val="001260F4"/>
    <w:rsid w:val="001264E6"/>
    <w:rsid w:val="00130F66"/>
    <w:rsid w:val="00133DB7"/>
    <w:rsid w:val="00142DC7"/>
    <w:rsid w:val="00154E48"/>
    <w:rsid w:val="001655F7"/>
    <w:rsid w:val="00180232"/>
    <w:rsid w:val="00181A56"/>
    <w:rsid w:val="001941F1"/>
    <w:rsid w:val="001C1255"/>
    <w:rsid w:val="001C1E1C"/>
    <w:rsid w:val="001C7958"/>
    <w:rsid w:val="00203A54"/>
    <w:rsid w:val="002108CA"/>
    <w:rsid w:val="00211978"/>
    <w:rsid w:val="0022172E"/>
    <w:rsid w:val="00223199"/>
    <w:rsid w:val="00253AF6"/>
    <w:rsid w:val="00262E34"/>
    <w:rsid w:val="002728D2"/>
    <w:rsid w:val="0027521D"/>
    <w:rsid w:val="00290A7B"/>
    <w:rsid w:val="002D7ADB"/>
    <w:rsid w:val="002F4527"/>
    <w:rsid w:val="002F4B57"/>
    <w:rsid w:val="002F7DCA"/>
    <w:rsid w:val="00307AFE"/>
    <w:rsid w:val="00320B15"/>
    <w:rsid w:val="0033035C"/>
    <w:rsid w:val="00331C73"/>
    <w:rsid w:val="003423D1"/>
    <w:rsid w:val="003537F0"/>
    <w:rsid w:val="00354B15"/>
    <w:rsid w:val="00370CFA"/>
    <w:rsid w:val="00384E07"/>
    <w:rsid w:val="003A0F58"/>
    <w:rsid w:val="003F20F3"/>
    <w:rsid w:val="004012CB"/>
    <w:rsid w:val="00442BE5"/>
    <w:rsid w:val="0046490E"/>
    <w:rsid w:val="0046701D"/>
    <w:rsid w:val="0047120A"/>
    <w:rsid w:val="00484280"/>
    <w:rsid w:val="00484B4C"/>
    <w:rsid w:val="004A5F3A"/>
    <w:rsid w:val="004C17F0"/>
    <w:rsid w:val="004C24F5"/>
    <w:rsid w:val="004C7C78"/>
    <w:rsid w:val="004D0D8D"/>
    <w:rsid w:val="004D2862"/>
    <w:rsid w:val="004D691D"/>
    <w:rsid w:val="0054705C"/>
    <w:rsid w:val="00557115"/>
    <w:rsid w:val="005621E5"/>
    <w:rsid w:val="005719C2"/>
    <w:rsid w:val="00572EE1"/>
    <w:rsid w:val="0058259E"/>
    <w:rsid w:val="00584531"/>
    <w:rsid w:val="0059291D"/>
    <w:rsid w:val="0059418D"/>
    <w:rsid w:val="00594C22"/>
    <w:rsid w:val="00597722"/>
    <w:rsid w:val="005B1B97"/>
    <w:rsid w:val="005B2933"/>
    <w:rsid w:val="005B320F"/>
    <w:rsid w:val="005D39DB"/>
    <w:rsid w:val="005F440C"/>
    <w:rsid w:val="00614933"/>
    <w:rsid w:val="00620093"/>
    <w:rsid w:val="006266D9"/>
    <w:rsid w:val="006368F5"/>
    <w:rsid w:val="006371DE"/>
    <w:rsid w:val="0063737D"/>
    <w:rsid w:val="0064121E"/>
    <w:rsid w:val="006446A6"/>
    <w:rsid w:val="00650197"/>
    <w:rsid w:val="00650FBF"/>
    <w:rsid w:val="00670788"/>
    <w:rsid w:val="00670C8B"/>
    <w:rsid w:val="00673F95"/>
    <w:rsid w:val="006877FD"/>
    <w:rsid w:val="006D53AE"/>
    <w:rsid w:val="006E1D03"/>
    <w:rsid w:val="006E72A7"/>
    <w:rsid w:val="006F265E"/>
    <w:rsid w:val="00701479"/>
    <w:rsid w:val="00707CAB"/>
    <w:rsid w:val="00724F95"/>
    <w:rsid w:val="00733C2F"/>
    <w:rsid w:val="00744A5A"/>
    <w:rsid w:val="00751B12"/>
    <w:rsid w:val="00767949"/>
    <w:rsid w:val="00773A93"/>
    <w:rsid w:val="00774821"/>
    <w:rsid w:val="00776B77"/>
    <w:rsid w:val="00781BD9"/>
    <w:rsid w:val="00786130"/>
    <w:rsid w:val="007924FE"/>
    <w:rsid w:val="00792EB3"/>
    <w:rsid w:val="00796BB2"/>
    <w:rsid w:val="007A3286"/>
    <w:rsid w:val="007A5A8D"/>
    <w:rsid w:val="007B2F7F"/>
    <w:rsid w:val="007C6BCE"/>
    <w:rsid w:val="007D4EA8"/>
    <w:rsid w:val="007D74A8"/>
    <w:rsid w:val="007E70D4"/>
    <w:rsid w:val="008078C5"/>
    <w:rsid w:val="008206FF"/>
    <w:rsid w:val="0082133A"/>
    <w:rsid w:val="00833871"/>
    <w:rsid w:val="00841326"/>
    <w:rsid w:val="008473A7"/>
    <w:rsid w:val="00856E73"/>
    <w:rsid w:val="00865A8D"/>
    <w:rsid w:val="00866C92"/>
    <w:rsid w:val="00873F64"/>
    <w:rsid w:val="00884C19"/>
    <w:rsid w:val="008905E1"/>
    <w:rsid w:val="00891D9E"/>
    <w:rsid w:val="008C4ACB"/>
    <w:rsid w:val="008D379C"/>
    <w:rsid w:val="008E5681"/>
    <w:rsid w:val="008E56E5"/>
    <w:rsid w:val="008F0E35"/>
    <w:rsid w:val="009239CC"/>
    <w:rsid w:val="00935C5E"/>
    <w:rsid w:val="00956714"/>
    <w:rsid w:val="00962EFD"/>
    <w:rsid w:val="0096406E"/>
    <w:rsid w:val="009745B2"/>
    <w:rsid w:val="009748D6"/>
    <w:rsid w:val="00976108"/>
    <w:rsid w:val="009A60F5"/>
    <w:rsid w:val="009C2908"/>
    <w:rsid w:val="009D1255"/>
    <w:rsid w:val="009D135A"/>
    <w:rsid w:val="009D16DE"/>
    <w:rsid w:val="009D715F"/>
    <w:rsid w:val="009E3C38"/>
    <w:rsid w:val="009F1470"/>
    <w:rsid w:val="009F6F95"/>
    <w:rsid w:val="00A05B94"/>
    <w:rsid w:val="00A13509"/>
    <w:rsid w:val="00A2031B"/>
    <w:rsid w:val="00A43FA9"/>
    <w:rsid w:val="00A56502"/>
    <w:rsid w:val="00A5652C"/>
    <w:rsid w:val="00A6360D"/>
    <w:rsid w:val="00A95810"/>
    <w:rsid w:val="00AA6E7E"/>
    <w:rsid w:val="00AB2600"/>
    <w:rsid w:val="00AD0533"/>
    <w:rsid w:val="00AF7AAA"/>
    <w:rsid w:val="00B049C5"/>
    <w:rsid w:val="00B1047A"/>
    <w:rsid w:val="00B10DAB"/>
    <w:rsid w:val="00B258A8"/>
    <w:rsid w:val="00B31CFB"/>
    <w:rsid w:val="00B4767B"/>
    <w:rsid w:val="00B52953"/>
    <w:rsid w:val="00B53513"/>
    <w:rsid w:val="00B54059"/>
    <w:rsid w:val="00B7288B"/>
    <w:rsid w:val="00B73532"/>
    <w:rsid w:val="00B770B9"/>
    <w:rsid w:val="00B93194"/>
    <w:rsid w:val="00BB544E"/>
    <w:rsid w:val="00BB5FF0"/>
    <w:rsid w:val="00BB6E12"/>
    <w:rsid w:val="00BC53A1"/>
    <w:rsid w:val="00BC6D0C"/>
    <w:rsid w:val="00BD0A6F"/>
    <w:rsid w:val="00BD5FB5"/>
    <w:rsid w:val="00BE25CC"/>
    <w:rsid w:val="00C02732"/>
    <w:rsid w:val="00C22F76"/>
    <w:rsid w:val="00C331F4"/>
    <w:rsid w:val="00C479D0"/>
    <w:rsid w:val="00C503E4"/>
    <w:rsid w:val="00C61171"/>
    <w:rsid w:val="00C619EE"/>
    <w:rsid w:val="00C904F1"/>
    <w:rsid w:val="00C96250"/>
    <w:rsid w:val="00CA27AC"/>
    <w:rsid w:val="00CB255A"/>
    <w:rsid w:val="00CC1384"/>
    <w:rsid w:val="00CC182E"/>
    <w:rsid w:val="00CD3D64"/>
    <w:rsid w:val="00CF44DE"/>
    <w:rsid w:val="00D2054F"/>
    <w:rsid w:val="00D21391"/>
    <w:rsid w:val="00D26293"/>
    <w:rsid w:val="00D562DF"/>
    <w:rsid w:val="00D662B9"/>
    <w:rsid w:val="00D832F8"/>
    <w:rsid w:val="00DB0E2B"/>
    <w:rsid w:val="00DC01DB"/>
    <w:rsid w:val="00DC4503"/>
    <w:rsid w:val="00DC6D9B"/>
    <w:rsid w:val="00DD0203"/>
    <w:rsid w:val="00DE033E"/>
    <w:rsid w:val="00DE2685"/>
    <w:rsid w:val="00E05C2C"/>
    <w:rsid w:val="00E12FE6"/>
    <w:rsid w:val="00E17EE8"/>
    <w:rsid w:val="00E21406"/>
    <w:rsid w:val="00E24BBC"/>
    <w:rsid w:val="00E266A5"/>
    <w:rsid w:val="00E27667"/>
    <w:rsid w:val="00E3091B"/>
    <w:rsid w:val="00E37A8A"/>
    <w:rsid w:val="00E7532D"/>
    <w:rsid w:val="00E82093"/>
    <w:rsid w:val="00E90B45"/>
    <w:rsid w:val="00EA0AF3"/>
    <w:rsid w:val="00EC53D1"/>
    <w:rsid w:val="00EC7004"/>
    <w:rsid w:val="00ED42DB"/>
    <w:rsid w:val="00EE3E33"/>
    <w:rsid w:val="00EF116E"/>
    <w:rsid w:val="00EF76FD"/>
    <w:rsid w:val="00F06982"/>
    <w:rsid w:val="00F10F84"/>
    <w:rsid w:val="00F546F3"/>
    <w:rsid w:val="00F64489"/>
    <w:rsid w:val="00F76262"/>
    <w:rsid w:val="00F77EBB"/>
    <w:rsid w:val="00F82916"/>
    <w:rsid w:val="00F9063B"/>
    <w:rsid w:val="00F91414"/>
    <w:rsid w:val="00FA1A17"/>
    <w:rsid w:val="00FB2112"/>
    <w:rsid w:val="00FB3C4A"/>
    <w:rsid w:val="00FE47AF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48254"/>
  <w15:docId w15:val="{BE75035E-9356-4ACA-B45A-F29822A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543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2020-09-23T10:52:00Z</cp:lastPrinted>
  <dcterms:created xsi:type="dcterms:W3CDTF">2020-10-08T02:34:00Z</dcterms:created>
  <dcterms:modified xsi:type="dcterms:W3CDTF">2020-10-08T11:37:00Z</dcterms:modified>
</cp:coreProperties>
</file>