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898AABF" w:rsidR="00294DF7" w:rsidRPr="00294DF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 SRF Complex</w:t>
            </w:r>
          </w:p>
          <w:p w14:paraId="7CB6887C" w14:textId="47A7756D" w:rsidR="002C306E" w:rsidRPr="003C4C67" w:rsidRDefault="000A6C7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1A46805" w:rsidR="009748D6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4AAC9094" w:rsidR="002C306E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1F4B3443" w:rsidR="00B82EC5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60563B4B" w14:textId="66AB9ADE" w:rsidR="00BB138A" w:rsidRPr="00F22BD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A4987A0" w:rsidR="003B08AC" w:rsidRPr="00B00F0C" w:rsidRDefault="00335CB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23BD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F64921">
              <w:rPr>
                <w:rFonts w:ascii="Tahoma" w:hAnsi="Tahoma" w:cs="Tahoma"/>
                <w:sz w:val="20"/>
                <w:szCs w:val="20"/>
              </w:rPr>
              <w:t>433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58BE138" w:rsidR="003B08AC" w:rsidRPr="00AB3587" w:rsidRDefault="00F649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247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897F81A" w:rsidR="009748D6" w:rsidRPr="00C7489C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26430">
              <w:rPr>
                <w:rFonts w:ascii="Tahoma" w:hAnsi="Tahoma" w:cs="Tahoma"/>
                <w:sz w:val="20"/>
                <w:szCs w:val="20"/>
              </w:rPr>
              <w:t>031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B7E6CB5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1F74FE">
              <w:rPr>
                <w:rFonts w:ascii="Tahoma" w:hAnsi="Tahoma" w:cs="Tahoma"/>
                <w:sz w:val="20"/>
                <w:szCs w:val="20"/>
              </w:rPr>
              <w:t>0</w:t>
            </w:r>
            <w:r w:rsidR="00426430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E4350B1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D4BAA84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0559AA08" w:rsidR="000A6C7F" w:rsidRPr="00335CB6" w:rsidRDefault="00335CB6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0AE5599" w:rsidR="009748D6" w:rsidRPr="00294DF7" w:rsidRDefault="00335CB6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600C907" w:rsidR="009748D6" w:rsidRPr="00CB255A" w:rsidRDefault="00335CB6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60F25AF0" w:rsidR="00F22BD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Chung</w:t>
            </w:r>
          </w:p>
          <w:p w14:paraId="265EAE95" w14:textId="4E9ED31E" w:rsidR="00542FCE" w:rsidRPr="00AB358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2A31F6DD" w14:textId="22AE08C8" w:rsidR="00AB3587" w:rsidRPr="00286AE4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Jeff_Chung@firenet.gov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BFB15D7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35CB6">
              <w:rPr>
                <w:rFonts w:ascii="Tahoma" w:hAnsi="Tahoma" w:cs="Tahoma"/>
                <w:sz w:val="20"/>
                <w:szCs w:val="20"/>
              </w:rPr>
              <w:t>1</w:t>
            </w:r>
            <w:r w:rsidR="0042643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5E483C8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335CB6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3078AD7" w:rsidR="009748D6" w:rsidRPr="00D26188" w:rsidRDefault="007F4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 and good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0515E50" w:rsidR="009748D6" w:rsidRPr="00D2618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F4CF7">
              <w:rPr>
                <w:rFonts w:ascii="Tahoma" w:hAnsi="Tahoma" w:cs="Tahoma"/>
                <w:sz w:val="20"/>
                <w:szCs w:val="20"/>
              </w:rPr>
              <w:t>. Some 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FFEBF18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426430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26430">
              <w:rPr>
                <w:rFonts w:ascii="Tahoma" w:hAnsi="Tahoma" w:cs="Tahoma"/>
                <w:sz w:val="20"/>
                <w:szCs w:val="20"/>
              </w:rPr>
              <w:t>100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01EA15B5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4264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gramStart"/>
              <w:r w:rsidR="004264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incident</w:t>
              </w:r>
              <w:proofErr w:type="gramEnd"/>
              <w:r w:rsidR="004264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_specific_data/calif_n/!2023_Federal_Incidents/CA-SRF-986_SRF_Lightning_Complex/IR/NIROPS/20231009/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F0D2839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 w:rsidR="00426430">
              <w:rPr>
                <w:rFonts w:ascii="Tahoma" w:hAnsi="Tahoma" w:cs="Tahoma"/>
                <w:sz w:val="20"/>
                <w:szCs w:val="20"/>
              </w:rPr>
              <w:t>9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4CF7">
              <w:rPr>
                <w:rFonts w:ascii="Tahoma" w:hAnsi="Tahoma" w:cs="Tahoma"/>
                <w:sz w:val="20"/>
                <w:szCs w:val="20"/>
              </w:rPr>
              <w:t>0</w:t>
            </w:r>
            <w:r w:rsidR="00426430">
              <w:rPr>
                <w:rFonts w:ascii="Tahoma" w:hAnsi="Tahoma" w:cs="Tahoma"/>
                <w:sz w:val="20"/>
                <w:szCs w:val="20"/>
              </w:rPr>
              <w:t>0</w:t>
            </w:r>
            <w:r w:rsidR="007F4CF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61450A9" w14:textId="3F2146AB" w:rsidR="00075A26" w:rsidRDefault="00335CB6" w:rsidP="00BB138A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866D2">
              <w:rPr>
                <w:rFonts w:ascii="Arial" w:hAnsi="Arial" w:cs="Arial"/>
                <w:i/>
                <w:iCs/>
                <w:sz w:val="20"/>
                <w:szCs w:val="20"/>
              </w:rPr>
              <w:t>NOTE: this log is intended for internal incident communication only. Any unauthorized dissemination of this information or associated IR data without expressed consent of the incident management team is prohibited</w:t>
            </w:r>
            <w:r w:rsidR="00F866D2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7D2DA223" w14:textId="67473302" w:rsidR="00F64921" w:rsidRPr="00F64921" w:rsidRDefault="00F64921" w:rsidP="00BB138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9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scanner operator noted a heat source approximately 8.5 miles southwest of the Mosquito Fire. There was a heat polygon approximately 10 acres in size identified in the imagery. The heat was digitized and posted to NIFS, but not included in the data to NIFC. Coordinates: </w:t>
            </w:r>
            <w:proofErr w:type="gramStart"/>
            <w:r w:rsidRPr="00F64921">
              <w:rPr>
                <w:rFonts w:ascii="Segoe UI" w:hAnsi="Segoe UI" w:cs="Segoe UI"/>
                <w:b/>
                <w:bCs/>
                <w:color w:val="0F1419"/>
                <w:sz w:val="20"/>
                <w:szCs w:val="20"/>
                <w:shd w:val="clear" w:color="auto" w:fill="EFF3F4"/>
              </w:rPr>
              <w:t>41.283471,-</w:t>
            </w:r>
            <w:proofErr w:type="gramEnd"/>
            <w:r w:rsidRPr="00F64921">
              <w:rPr>
                <w:rFonts w:ascii="Segoe UI" w:hAnsi="Segoe UI" w:cs="Segoe UI"/>
                <w:b/>
                <w:bCs/>
                <w:color w:val="0F1419"/>
                <w:sz w:val="20"/>
                <w:szCs w:val="20"/>
                <w:shd w:val="clear" w:color="auto" w:fill="EFF3F4"/>
              </w:rPr>
              <w:t>123.836863 in WGS84.</w:t>
            </w:r>
          </w:p>
          <w:p w14:paraId="465892C0" w14:textId="77777777" w:rsidR="00F64921" w:rsidRPr="00F64921" w:rsidRDefault="00F64921" w:rsidP="00BB13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2C49ED" w14:textId="5C4BEF7A" w:rsidR="00B408B4" w:rsidRDefault="00F866D2" w:rsidP="00BB138A">
            <w:pPr>
              <w:spacing w:line="360" w:lineRule="auto"/>
              <w:rPr>
                <w:bCs/>
                <w:i/>
                <w:iCs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Event Perimeter in NIFS access </w:t>
            </w:r>
            <w:proofErr w:type="gramStart"/>
            <w:r w:rsidRPr="00335CB6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 w:rsidRPr="00335CB6"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  <w:r w:rsidR="004C361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335CB6">
              <w:rPr>
                <w:rFonts w:ascii="Tahoma" w:hAnsi="Tahoma" w:cs="Tahoma"/>
                <w:bCs/>
                <w:sz w:val="20"/>
                <w:szCs w:val="20"/>
              </w:rPr>
              <w:t>00.</w:t>
            </w:r>
          </w:p>
          <w:tbl>
            <w:tblPr>
              <w:tblW w:w="862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560"/>
              <w:gridCol w:w="1140"/>
              <w:gridCol w:w="1640"/>
              <w:gridCol w:w="2720"/>
            </w:tblGrid>
            <w:tr w:rsidR="00B408B4" w14:paraId="2F161C44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529D85D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Fire Name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15E3497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Previous Acres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6143F4D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21CD3A87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 of Growth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594B0BF2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Imagery Date and Time</w:t>
                  </w:r>
                </w:p>
              </w:tc>
            </w:tr>
            <w:tr w:rsidR="00B408B4" w14:paraId="001637C0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3AA9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Mosquito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25D0F" w14:textId="48BF98A7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</w:t>
                  </w:r>
                  <w:r w:rsidR="00F6492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8BF13" w14:textId="15F9CDD3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F6492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 w:rsidR="00F6492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FF57" w14:textId="104436ED" w:rsidR="00B408B4" w:rsidRDefault="00F64921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725D" w14:textId="2AC03AAA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2A1B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5A64C06A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56BAE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Marlow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F57D" w14:textId="77777777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86A9" w14:textId="77777777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901D2" w14:textId="77777777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7BC04" w14:textId="6BEAC2A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2A1B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3744E8F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8FFA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Pearch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521F" w14:textId="393A005A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F6492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1431C" w14:textId="36D1BE35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12,1</w:t>
                  </w:r>
                  <w:r w:rsidR="00F6492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676" w14:textId="67A924E2" w:rsidR="00B408B4" w:rsidRDefault="00A06D28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40D09" w14:textId="4647E1D2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</w:t>
                  </w:r>
                  <w:r w:rsidR="002A1B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</w:t>
                  </w:r>
                  <w:r w:rsidR="007F4CF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A06D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5A89507E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A0546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 er Buck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3B73" w14:textId="77777777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A8FA2" w14:textId="77777777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50010" w14:textId="77777777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020DB" w14:textId="4EAF20F6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08B4" w14:paraId="35FF4FB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1D0EE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92E86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AB262" w14:textId="29EAAF68" w:rsidR="00B408B4" w:rsidRDefault="00B408B4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A23BD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F6492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A1C10" w14:textId="4180C7A5" w:rsidR="00B408B4" w:rsidRPr="00E206E8" w:rsidRDefault="00F64921" w:rsidP="00426430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24</w:t>
                  </w:r>
                  <w:r w:rsidR="00A06D2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7012" w14:textId="77777777" w:rsidR="00B408B4" w:rsidRDefault="00B408B4" w:rsidP="00426430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Complex Acres</w:t>
                  </w:r>
                </w:p>
              </w:tc>
            </w:tr>
          </w:tbl>
          <w:p w14:paraId="08204571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14:paraId="5FF6849B" w14:textId="3FF692A8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Marlow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no perimeter growth observed. </w:t>
            </w:r>
            <w:r w:rsidR="00F64921">
              <w:rPr>
                <w:rFonts w:ascii="Tahoma" w:hAnsi="Tahoma" w:cs="Tahoma"/>
                <w:bCs/>
                <w:sz w:val="20"/>
                <w:szCs w:val="20"/>
              </w:rPr>
              <w:t>Four isolated heat sources observed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A82B94D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5A7987C2" w14:textId="34861A86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Let er Buck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06D28">
              <w:rPr>
                <w:rFonts w:ascii="Tahoma" w:hAnsi="Tahoma" w:cs="Tahoma"/>
                <w:bCs/>
                <w:sz w:val="20"/>
                <w:szCs w:val="20"/>
              </w:rPr>
              <w:t>Not flown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145E400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7D64ABF7" w14:textId="202B932F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Mosquito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64921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 w:rsidR="00A06D2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acres of growth mostly along the eastern perimeter. Intense 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 xml:space="preserve">and scattered 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>heat associated with areas of growth. Isolated heat largely through the eastern half</w:t>
            </w:r>
            <w:r w:rsidR="00F64921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proofErr w:type="gramStart"/>
            <w:r w:rsidR="00F64921">
              <w:rPr>
                <w:rFonts w:ascii="Tahoma" w:hAnsi="Tahoma" w:cs="Tahoma"/>
                <w:bCs/>
                <w:sz w:val="20"/>
                <w:szCs w:val="20"/>
              </w:rPr>
              <w:t>south central</w:t>
            </w:r>
            <w:proofErr w:type="gramEnd"/>
            <w:r w:rsidR="00F64921">
              <w:rPr>
                <w:rFonts w:ascii="Tahoma" w:hAnsi="Tahoma" w:cs="Tahoma"/>
                <w:bCs/>
                <w:sz w:val="20"/>
                <w:szCs w:val="20"/>
              </w:rPr>
              <w:t xml:space="preserve"> portions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of the fire.</w:t>
            </w:r>
          </w:p>
          <w:p w14:paraId="45DA4831" w14:textId="77777777" w:rsidR="00B408B4" w:rsidRPr="007F4CF7" w:rsidRDefault="00B408B4" w:rsidP="00BB138A">
            <w:pPr>
              <w:spacing w:line="360" w:lineRule="auto"/>
              <w:rPr>
                <w:rFonts w:ascii="Tahoma" w:hAnsi="Tahoma" w:cs="Tahoma"/>
                <w:bCs/>
                <w:sz w:val="8"/>
                <w:szCs w:val="8"/>
              </w:rPr>
            </w:pPr>
          </w:p>
          <w:p w14:paraId="0DC083A8" w14:textId="5816DA22" w:rsidR="00B408B4" w:rsidRPr="00335CB6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Pearch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06D28">
              <w:rPr>
                <w:rFonts w:ascii="Tahoma" w:hAnsi="Tahoma" w:cs="Tahoma"/>
                <w:bCs/>
                <w:sz w:val="20"/>
                <w:szCs w:val="20"/>
              </w:rPr>
              <w:t>Three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acres of </w:t>
            </w:r>
            <w:r w:rsidR="00F866D2"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growth along the north edges. </w:t>
            </w:r>
            <w:r w:rsidR="00A23BDF">
              <w:rPr>
                <w:rFonts w:ascii="Tahoma" w:hAnsi="Tahoma" w:cs="Tahoma"/>
                <w:bCs/>
                <w:sz w:val="20"/>
                <w:szCs w:val="20"/>
              </w:rPr>
              <w:t>Minor areas of intense and</w:t>
            </w:r>
            <w:r w:rsidR="007F4CF7">
              <w:rPr>
                <w:rFonts w:ascii="Tahoma" w:hAnsi="Tahoma" w:cs="Tahoma"/>
                <w:bCs/>
                <w:sz w:val="20"/>
                <w:szCs w:val="20"/>
              </w:rPr>
              <w:t xml:space="preserve"> scattered heat. </w:t>
            </w:r>
            <w:r w:rsidR="00F866D2" w:rsidRPr="00F866D2">
              <w:rPr>
                <w:rFonts w:ascii="Tahoma" w:hAnsi="Tahoma" w:cs="Tahoma"/>
                <w:bCs/>
                <w:sz w:val="20"/>
                <w:szCs w:val="20"/>
              </w:rPr>
              <w:t>Isolated heat sources throughout the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3C5B" w14:textId="77777777" w:rsidR="00716A96" w:rsidRDefault="00716A96">
      <w:r>
        <w:separator/>
      </w:r>
    </w:p>
  </w:endnote>
  <w:endnote w:type="continuationSeparator" w:id="0">
    <w:p w14:paraId="234F882E" w14:textId="77777777" w:rsidR="00716A96" w:rsidRDefault="0071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676C" w14:textId="77777777" w:rsidR="00716A96" w:rsidRDefault="00716A96">
      <w:r>
        <w:separator/>
      </w:r>
    </w:p>
  </w:footnote>
  <w:footnote w:type="continuationSeparator" w:id="0">
    <w:p w14:paraId="3F25B499" w14:textId="77777777" w:rsidR="00716A96" w:rsidRDefault="0071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5503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B2416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486D"/>
    <w:rsid w:val="00286AE4"/>
    <w:rsid w:val="0029463F"/>
    <w:rsid w:val="00294DF7"/>
    <w:rsid w:val="002A1BFD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35CB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6430"/>
    <w:rsid w:val="004271B9"/>
    <w:rsid w:val="00427D53"/>
    <w:rsid w:val="004307C6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C361D"/>
    <w:rsid w:val="004E1C67"/>
    <w:rsid w:val="004F0FD8"/>
    <w:rsid w:val="00500540"/>
    <w:rsid w:val="0051414D"/>
    <w:rsid w:val="00542FCE"/>
    <w:rsid w:val="00553B18"/>
    <w:rsid w:val="005540BD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16A96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4CF7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BC1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E6581"/>
    <w:rsid w:val="009F02BC"/>
    <w:rsid w:val="009F1916"/>
    <w:rsid w:val="009F19E8"/>
    <w:rsid w:val="009F39BC"/>
    <w:rsid w:val="009F6A61"/>
    <w:rsid w:val="00A019A8"/>
    <w:rsid w:val="00A06D28"/>
    <w:rsid w:val="00A0783F"/>
    <w:rsid w:val="00A15127"/>
    <w:rsid w:val="00A15A21"/>
    <w:rsid w:val="00A2031B"/>
    <w:rsid w:val="00A23BDF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08B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35A27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173E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206E8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A2E3B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64921"/>
    <w:rsid w:val="00F70AB5"/>
    <w:rsid w:val="00F823F3"/>
    <w:rsid w:val="00F866D2"/>
    <w:rsid w:val="00F90B4E"/>
    <w:rsid w:val="00FA3ED1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RF-986_SRF_Lightning_Complex/IR/NIROPS/202310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32</cp:revision>
  <cp:lastPrinted>2004-03-23T21:00:00Z</cp:lastPrinted>
  <dcterms:created xsi:type="dcterms:W3CDTF">2021-09-02T17:51:00Z</dcterms:created>
  <dcterms:modified xsi:type="dcterms:W3CDTF">2023-10-09T05:53:00Z</dcterms:modified>
</cp:coreProperties>
</file>