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SQF Complex</w:t>
            </w:r>
          </w:p>
          <w:p>
            <w:pPr>
              <w:pStyle w:val="Normal"/>
              <w:spacing w:lineRule="auto" w:line="360"/>
              <w:rPr/>
            </w:pPr>
            <w:r>
              <w:rPr>
                <w:sz w:val="22"/>
                <w:szCs w:val="22"/>
              </w:rPr>
              <w:t>(CA-SQF-002622)</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Local Dispatch Phone:</w:t>
            </w:r>
          </w:p>
          <w:p>
            <w:pPr>
              <w:pStyle w:val="Normal"/>
              <w:spacing w:lineRule="auto" w:line="360"/>
              <w:rPr/>
            </w:pPr>
            <w:r>
              <w:rPr>
                <w:sz w:val="20"/>
                <w:szCs w:val="20"/>
              </w:rPr>
              <w:t xml:space="preserve">Central California Communications Center </w:t>
              <w:br/>
              <w:t>(559-781-5780)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 xml:space="preserve">Castle: </w:t>
            </w:r>
            <w:r>
              <w:rPr>
                <w:sz w:val="20"/>
                <w:szCs w:val="20"/>
              </w:rPr>
              <w:t>63,729</w:t>
            </w:r>
            <w:r>
              <w:rPr>
                <w:sz w:val="20"/>
                <w:szCs w:val="20"/>
              </w:rPr>
              <w:t xml:space="preserve"> Acres</w:t>
            </w:r>
          </w:p>
          <w:p>
            <w:pPr>
              <w:pStyle w:val="Normal"/>
              <w:spacing w:lineRule="auto" w:line="360"/>
              <w:rPr/>
            </w:pPr>
            <w:r>
              <w:rPr>
                <w:sz w:val="20"/>
                <w:szCs w:val="20"/>
              </w:rPr>
              <w:t xml:space="preserve">Shotgun: </w:t>
            </w:r>
            <w:r>
              <w:rPr>
                <w:sz w:val="20"/>
                <w:szCs w:val="20"/>
              </w:rPr>
              <w:t>529</w:t>
            </w:r>
            <w:r>
              <w:rPr>
                <w:sz w:val="20"/>
                <w:szCs w:val="20"/>
              </w:rPr>
              <w:t xml:space="preserve">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 xml:space="preserve">Castle: </w:t>
            </w:r>
            <w:r>
              <w:rPr>
                <w:sz w:val="20"/>
                <w:szCs w:val="20"/>
              </w:rPr>
              <w:t>559</w:t>
            </w:r>
            <w:r>
              <w:rPr>
                <w:sz w:val="20"/>
                <w:szCs w:val="20"/>
              </w:rPr>
              <w:t xml:space="preserve"> Acres</w:t>
            </w:r>
          </w:p>
          <w:p>
            <w:pPr>
              <w:pStyle w:val="Normal"/>
              <w:spacing w:lineRule="auto" w:line="360"/>
              <w:rPr/>
            </w:pPr>
            <w:r>
              <w:rPr>
                <w:sz w:val="20"/>
                <w:szCs w:val="20"/>
              </w:rPr>
              <w:t xml:space="preserve">Shotgun: </w:t>
            </w:r>
            <w:r>
              <w:rPr>
                <w:sz w:val="20"/>
                <w:szCs w:val="20"/>
              </w:rPr>
              <w:t>31</w:t>
            </w:r>
            <w:r>
              <w:rPr>
                <w:sz w:val="20"/>
                <w:szCs w:val="20"/>
              </w:rPr>
              <w:t xml:space="preserve">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w:t>
            </w:r>
            <w:r>
              <w:rPr>
                <w:b w:val="false"/>
                <w:bCs w:val="false"/>
                <w:sz w:val="20"/>
                <w:szCs w:val="20"/>
              </w:rPr>
              <w:t>1847</w:t>
            </w:r>
          </w:p>
          <w:p>
            <w:pPr>
              <w:pStyle w:val="Normal"/>
              <w:spacing w:lineRule="auto" w:line="360"/>
              <w:rPr/>
            </w:pPr>
            <w:r>
              <w:rPr>
                <w:sz w:val="20"/>
                <w:szCs w:val="20"/>
              </w:rPr>
              <w:t xml:space="preserve"> </w:t>
            </w:r>
            <w:r>
              <w:rPr>
                <w:sz w:val="20"/>
                <w:szCs w:val="20"/>
              </w:rPr>
              <w:t>(PDT)</w:t>
            </w:r>
          </w:p>
          <w:p>
            <w:pPr>
              <w:pStyle w:val="Normal"/>
              <w:spacing w:lineRule="auto" w:line="360"/>
              <w:rPr/>
            </w:pPr>
            <w:r>
              <w:rPr>
                <w:b/>
                <w:sz w:val="20"/>
                <w:szCs w:val="20"/>
              </w:rPr>
              <w:t>Flight Date:</w:t>
            </w:r>
            <w:r>
              <w:rPr>
                <w:b w:val="false"/>
                <w:bCs w:val="false"/>
                <w:sz w:val="20"/>
                <w:szCs w:val="20"/>
              </w:rPr>
              <w:t xml:space="preserve"> 9/</w:t>
            </w:r>
            <w:r>
              <w:rPr>
                <w:b w:val="false"/>
                <w:bCs w:val="false"/>
                <w:sz w:val="20"/>
                <w:szCs w:val="20"/>
              </w:rPr>
              <w:t>8</w:t>
            </w:r>
            <w:r>
              <w:rPr>
                <w:b w:val="false"/>
                <w:bCs w:val="false"/>
                <w:sz w:val="20"/>
                <w:szCs w:val="20"/>
              </w:rPr>
              <w:t>/20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Kyle Felker</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Tom Mellin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505-842-3845</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Lance Robinson</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17</w:t>
            </w:r>
            <w:r>
              <w:rPr>
                <w:sz w:val="20"/>
                <w:szCs w:val="20"/>
              </w:rPr>
              <w:t>8</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Passes matched up well with the ground and did not need correction. Some gaps in imagery.</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Clear</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09/0</w:t>
            </w:r>
            <w:r>
              <w:rPr>
                <w:sz w:val="18"/>
                <w:szCs w:val="18"/>
              </w:rPr>
              <w:t>8</w:t>
            </w:r>
            <w:r>
              <w:rPr>
                <w:sz w:val="18"/>
                <w:szCs w:val="18"/>
              </w:rPr>
              <w:t>/20 @ 2</w:t>
            </w:r>
            <w:r>
              <w:rPr>
                <w:sz w:val="18"/>
                <w:szCs w:val="18"/>
              </w:rPr>
              <w:t>145</w:t>
            </w:r>
            <w:r>
              <w:rPr>
                <w:sz w:val="18"/>
                <w:szCs w:val="18"/>
              </w:rPr>
              <w:t xml:space="preserve">  (PDT)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0" w:name="__DdeLink__258_3865274845"/>
            <w:r>
              <w:rPr>
                <w:b w:val="false"/>
                <w:bCs w:val="false"/>
                <w:sz w:val="18"/>
                <w:szCs w:val="18"/>
              </w:rPr>
              <w:t>ftp.nifc.gov</w:t>
            </w:r>
            <w:bookmarkEnd w:id="0"/>
            <w:r>
              <w:rPr>
                <w:b w:val="false"/>
                <w:bCs w:val="false"/>
                <w:sz w:val="18"/>
                <w:szCs w:val="18"/>
              </w:rPr>
              <w:t>/incident_specific_data/calif_s/!2020_Incidents/CA-SQF-002622_SQF COMPLEX/IR/NIROPS/2020090</w:t>
            </w:r>
            <w:r>
              <w:rPr>
                <w:b w:val="false"/>
                <w:bCs w:val="false"/>
                <w:sz w:val="18"/>
                <w:szCs w:val="18"/>
              </w:rPr>
              <w:t>9</w:t>
            </w:r>
            <w:r>
              <w:rPr>
                <w:b w:val="false"/>
                <w:bCs w:val="false"/>
                <w:sz w:val="18"/>
                <w:szCs w:val="18"/>
              </w:rPr>
              <w:t>/</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09/0</w:t>
            </w:r>
            <w:r>
              <w:rPr>
                <w:sz w:val="18"/>
                <w:szCs w:val="18"/>
              </w:rPr>
              <w:t>9</w:t>
            </w:r>
            <w:r>
              <w:rPr>
                <w:sz w:val="18"/>
                <w:szCs w:val="18"/>
              </w:rPr>
              <w:t>/20 @ 0</w:t>
            </w:r>
            <w:r>
              <w:rPr>
                <w:sz w:val="18"/>
                <w:szCs w:val="18"/>
              </w:rPr>
              <w:t>254</w:t>
            </w:r>
            <w:r>
              <w:rPr>
                <w:sz w:val="18"/>
                <w:szCs w:val="18"/>
              </w:rPr>
              <w:t xml:space="preserve">  (PDT)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pPr>
            <w:r>
              <w:rPr>
                <w:b/>
                <w:sz w:val="22"/>
                <w:szCs w:val="22"/>
              </w:rPr>
              <w:t>Comments/notes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(118</w:t>
            </w:r>
            <w:r>
              <w:rPr>
                <w:rFonts w:eastAsia="Times New Roman" w:cs="Times New Roman"/>
                <w:sz w:val="20"/>
                <w:szCs w:val="20"/>
              </w:rPr>
              <w:t>°15</w:t>
            </w:r>
            <w:bookmarkStart w:id="1" w:name="__DdeLink__352_1972416657"/>
            <w:r>
              <w:rPr>
                <w:sz w:val="20"/>
                <w:szCs w:val="20"/>
              </w:rPr>
              <w:t>'</w:t>
            </w:r>
            <w:bookmarkEnd w:id="1"/>
            <w:r>
              <w:rPr>
                <w:sz w:val="20"/>
                <w:szCs w:val="20"/>
              </w:rPr>
              <w:t>10</w:t>
            </w:r>
            <w:r>
              <w:rPr>
                <w:rFonts w:eastAsia="Times New Roman" w:cs="Times New Roman"/>
                <w:sz w:val="20"/>
                <w:szCs w:val="20"/>
              </w:rPr>
              <w:t>"</w:t>
            </w:r>
            <w:r>
              <w:rPr>
                <w:sz w:val="20"/>
                <w:szCs w:val="20"/>
              </w:rPr>
              <w:t xml:space="preserve"> W – 118</w:t>
            </w:r>
            <w:r>
              <w:rPr>
                <w:rFonts w:eastAsia="Times New Roman" w:cs="Times New Roman"/>
                <w:sz w:val="20"/>
                <w:szCs w:val="20"/>
              </w:rPr>
              <w:t>°36</w:t>
            </w:r>
            <w:r>
              <w:rPr>
                <w:sz w:val="20"/>
                <w:szCs w:val="20"/>
              </w:rPr>
              <w:t>'</w:t>
            </w:r>
            <w:r>
              <w:rPr>
                <w:sz w:val="20"/>
                <w:szCs w:val="20"/>
              </w:rPr>
              <w:t>2</w:t>
            </w:r>
            <w:r>
              <w:rPr>
                <w:sz w:val="20"/>
                <w:szCs w:val="20"/>
              </w:rPr>
              <w:t>0</w:t>
            </w:r>
            <w:r>
              <w:rPr>
                <w:rFonts w:eastAsia="Times New Roman" w:cs="Times New Roman"/>
                <w:sz w:val="20"/>
                <w:szCs w:val="20"/>
              </w:rPr>
              <w:t>"</w:t>
            </w:r>
            <w:r>
              <w:rPr>
                <w:sz w:val="20"/>
                <w:szCs w:val="20"/>
              </w:rPr>
              <w:t xml:space="preserve"> W) x (36</w:t>
            </w:r>
            <w:r>
              <w:rPr>
                <w:rFonts w:eastAsia="Times New Roman" w:cs="Times New Roman"/>
                <w:sz w:val="20"/>
                <w:szCs w:val="20"/>
              </w:rPr>
              <w:t>°</w:t>
            </w:r>
            <w:r>
              <w:rPr>
                <w:rFonts w:eastAsia="Times New Roman" w:cs="Times New Roman"/>
                <w:sz w:val="20"/>
                <w:szCs w:val="20"/>
              </w:rPr>
              <w:t>1</w:t>
            </w:r>
            <w:r>
              <w:rPr>
                <w:rFonts w:eastAsia="Times New Roman" w:cs="Times New Roman"/>
                <w:sz w:val="20"/>
                <w:szCs w:val="20"/>
              </w:rPr>
              <w:t>'</w:t>
            </w:r>
            <w:r>
              <w:rPr>
                <w:rFonts w:eastAsia="Times New Roman" w:cs="Times New Roman"/>
                <w:sz w:val="20"/>
                <w:szCs w:val="20"/>
              </w:rPr>
              <w:t>5</w:t>
            </w:r>
            <w:r>
              <w:rPr>
                <w:rFonts w:eastAsia="Times New Roman" w:cs="Times New Roman"/>
                <w:sz w:val="20"/>
                <w:szCs w:val="20"/>
              </w:rPr>
              <w:t>0"</w:t>
            </w:r>
            <w:r>
              <w:rPr>
                <w:sz w:val="20"/>
                <w:szCs w:val="20"/>
              </w:rPr>
              <w:t xml:space="preserve"> N – </w:t>
            </w:r>
            <w:bookmarkStart w:id="2" w:name="__DdeLink__117_4018957863"/>
            <w:r>
              <w:rPr>
                <w:sz w:val="20"/>
                <w:szCs w:val="20"/>
              </w:rPr>
              <w:t>36</w:t>
            </w:r>
            <w:r>
              <w:rPr>
                <w:rFonts w:eastAsia="Times New Roman" w:cs="Times New Roman"/>
                <w:sz w:val="20"/>
                <w:szCs w:val="20"/>
              </w:rPr>
              <w:t>°23</w:t>
            </w:r>
            <w:r>
              <w:rPr>
                <w:sz w:val="20"/>
                <w:szCs w:val="20"/>
              </w:rPr>
              <w:t>'</w:t>
            </w:r>
            <w:bookmarkEnd w:id="2"/>
            <w:r>
              <w:rPr>
                <w:sz w:val="20"/>
                <w:szCs w:val="20"/>
              </w:rPr>
              <w:t>0</w:t>
            </w:r>
            <w:r>
              <w:rPr>
                <w:rFonts w:eastAsia="Times New Roman" w:cs="Times New Roman"/>
                <w:sz w:val="20"/>
                <w:szCs w:val="20"/>
              </w:rPr>
              <w:t>"</w:t>
            </w:r>
            <w:r>
              <w:rPr>
                <w:sz w:val="20"/>
                <w:szCs w:val="20"/>
              </w:rPr>
              <w:t xml:space="preserve"> N).</w:t>
            </w:r>
          </w:p>
          <w:p>
            <w:pPr>
              <w:pStyle w:val="ListParagraph"/>
              <w:numPr>
                <w:ilvl w:val="0"/>
                <w:numId w:val="1"/>
              </w:numPr>
              <w:tabs>
                <w:tab w:val="left" w:pos="9125" w:leader="none"/>
              </w:tabs>
              <w:rPr/>
            </w:pPr>
            <w:r>
              <w:rPr>
                <w:sz w:val="20"/>
                <w:szCs w:val="20"/>
              </w:rPr>
              <w:t>Used starting perimeter provided by incident GISS.</w:t>
            </w:r>
          </w:p>
          <w:p>
            <w:pPr>
              <w:pStyle w:val="ListParagraph"/>
              <w:numPr>
                <w:ilvl w:val="0"/>
                <w:numId w:val="1"/>
              </w:numPr>
              <w:tabs>
                <w:tab w:val="left" w:pos="9125" w:leader="none"/>
              </w:tabs>
              <w:rPr/>
            </w:pPr>
            <w:r>
              <w:rPr>
                <w:sz w:val="20"/>
                <w:szCs w:val="20"/>
              </w:rPr>
              <w:t xml:space="preserve">Some gaps in imagery in higher elevation areas. The pilot had to space the passes further apart to be able to do the flight on one tank of fuel. These gaps were digitized and bundled with the rest of the shapefiles as “CoverageGaps”. </w:t>
            </w:r>
            <w:r>
              <w:rPr>
                <w:sz w:val="20"/>
                <w:szCs w:val="20"/>
              </w:rPr>
              <w:t>They were also marked on the maps as some of them were relatively close to the perimeter.</w:t>
            </w:r>
          </w:p>
          <w:p>
            <w:pPr>
              <w:pStyle w:val="ListParagraph"/>
              <w:numPr>
                <w:ilvl w:val="0"/>
                <w:numId w:val="1"/>
              </w:numPr>
              <w:tabs>
                <w:tab w:val="left" w:pos="9125" w:leader="none"/>
              </w:tabs>
              <w:rPr/>
            </w:pPr>
            <w:r>
              <w:rPr>
                <w:sz w:val="20"/>
                <w:szCs w:val="20"/>
              </w:rPr>
              <w:t>I marked multiple</w:t>
            </w:r>
            <w:r>
              <w:rPr>
                <w:sz w:val="20"/>
                <w:szCs w:val="20"/>
              </w:rPr>
              <w:t xml:space="preserve"> isolated heat sources outside of the </w:t>
            </w:r>
            <w:r>
              <w:rPr>
                <w:sz w:val="20"/>
                <w:szCs w:val="20"/>
              </w:rPr>
              <w:t>Castle fire perimeter in several areas where the perimeter was not clear</w:t>
            </w:r>
            <w:r>
              <w:rPr>
                <w:sz w:val="20"/>
                <w:szCs w:val="20"/>
              </w:rPr>
              <w:t>.</w:t>
            </w:r>
          </w:p>
          <w:p>
            <w:pPr>
              <w:pStyle w:val="ListParagraph"/>
              <w:numPr>
                <w:ilvl w:val="0"/>
                <w:numId w:val="1"/>
              </w:numPr>
              <w:tabs>
                <w:tab w:val="left" w:pos="9125" w:leader="none"/>
              </w:tabs>
              <w:rPr/>
            </w:pPr>
            <w:r>
              <w:rPr>
                <w:sz w:val="20"/>
                <w:szCs w:val="20"/>
              </w:rPr>
              <w:t>Major</w:t>
            </w:r>
            <w:r>
              <w:rPr>
                <w:sz w:val="20"/>
                <w:szCs w:val="20"/>
              </w:rPr>
              <w:t>ity of</w:t>
            </w:r>
            <w:r>
              <w:rPr>
                <w:sz w:val="20"/>
                <w:szCs w:val="20"/>
              </w:rPr>
              <w:t xml:space="preserve"> activity for the Castle fire appears to be on the western and southeastern edges.</w:t>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sz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sz w:val="20"/>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sz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sz w:val="20"/>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sz w:val="20"/>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sz w:val="20"/>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sz w:val="20"/>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fals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2096</TotalTime>
  <Application>LibreOffice/6.1.0.3$Windows_X86_64 LibreOffice_project/efb621ed25068d70781dc026f7e9c5187a4decd1</Application>
  <Pages>1</Pages>
  <Words>290</Words>
  <Characters>1696</Characters>
  <CharactersWithSpaces>1933</CharactersWithSpaces>
  <Paragraphs>57</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2020-09-09T04:01:44Z</dcterms:modified>
  <cp:revision>202</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