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824"/>
        <w:gridCol w:w="2825"/>
        <w:gridCol w:w="2825"/>
        <w:gridCol w:w="2825"/>
      </w:tblGrid>
      <w:tr>
        <w:trPr>
          <w:trHeight w:val="1059" w:hRule="auto"/>
          <w:jc w:val="left"/>
        </w:trPr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36" w:leader="none"/>
                <w:tab w:val="left" w:pos="10260" w:leader="none"/>
              </w:tabs>
              <w:spacing w:before="0" w:after="0" w:line="360"/>
              <w:ind w:right="-33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Incident Name: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Castle SQF Complex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5"/>
                <w:shd w:fill="FFFFFF" w:val="clear"/>
              </w:rPr>
              <w:t xml:space="preserve">Incident #: CA-SQF-002541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IR Interpreter(s):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Cameron Rodriguez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Mark Zaller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 Dispatch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559-781-5780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Interpreted Size: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  xxxx</w:t>
            </w:r>
            <w:r>
              <w:rPr>
                <w:rFonts w:ascii="ArialMT" w:hAnsi="ArialMT" w:cs="ArialMT" w:eastAsia="ArialMT"/>
                <w:color w:val="auto"/>
                <w:spacing w:val="0"/>
                <w:position w:val="0"/>
                <w:sz w:val="24"/>
                <w:shd w:fill="auto" w:val="clear"/>
              </w:rPr>
              <w:t xml:space="preserve"> 178795 Acres 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Growth last period: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235 Acres</w:t>
            </w:r>
          </w:p>
        </w:tc>
      </w:tr>
      <w:tr>
        <w:trPr>
          <w:trHeight w:val="1059" w:hRule="auto"/>
          <w:jc w:val="left"/>
        </w:trPr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Flight Time: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2330 PDT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Flight Date: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20201029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Interpreter(s) location: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Columbia. CA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Interpreter(s)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619-922-9561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GACC IR Liaison: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Kyle Felker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GACC IR Liaison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530-251-6112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Coordinator: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Tom Mellin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505-842-3845</w:t>
            </w:r>
          </w:p>
        </w:tc>
      </w:tr>
      <w:tr>
        <w:trPr>
          <w:trHeight w:val="528" w:hRule="auto"/>
          <w:jc w:val="left"/>
        </w:trPr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Ordered By: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5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5"/>
                <w:shd w:fill="FFFFFF" w:val="clear"/>
              </w:rPr>
              <w:t xml:space="preserve">Bryan Vergne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619-733-8112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 Number: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A-607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Aircraft/Scanner System: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N77HS/TK-7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Pilots/Techs: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Dan Mathern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Kris Albrecht</w:t>
            </w:r>
          </w:p>
        </w:tc>
      </w:tr>
      <w:tr>
        <w:trPr>
          <w:trHeight w:val="630" w:hRule="auto"/>
          <w:jc w:val="left"/>
        </w:trPr>
        <w:tc>
          <w:tcPr>
            <w:tcW w:w="56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IRIN Comments on imagery: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Imagery was clear.  Geo-reference was good in many areas but off in other. The whole therrmal mosaic was corrected in ESRI to have better geo-reference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Weather at time of flight: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Clear</w:t>
            </w:r>
          </w:p>
        </w:tc>
        <w:tc>
          <w:tcPr>
            <w:tcW w:w="2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Flight Objective: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FFFFFF" w:val="clear"/>
              </w:rPr>
              <w:t xml:space="preserve">Map heat perimeter, intense, scattered, and isolated heat</w:t>
            </w:r>
          </w:p>
        </w:tc>
      </w:tr>
      <w:tr>
        <w:trPr>
          <w:trHeight w:val="614" w:hRule="auto"/>
          <w:jc w:val="left"/>
        </w:trPr>
        <w:tc>
          <w:tcPr>
            <w:tcW w:w="56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 and Time Imagery Received by Interpreter: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20201029    2340 PDT</w:t>
            </w:r>
          </w:p>
        </w:tc>
        <w:tc>
          <w:tcPr>
            <w:tcW w:w="565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Type of media for final product: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Shapefiles, KMZ files, maps, IRIN log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Digital files sent to NIFC ftp   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Emailed to: brian.vergne@usda.gov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ahoma" w:hAnsi="Tahoma" w:cs="Tahoma" w:eastAsia="Tahom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sgbrown@sandiego.gov</w:t>
              </w:r>
            </w:hyperlink>
            <w:r>
              <w:rPr>
                <w:rFonts w:ascii="Tahoma" w:hAnsi="Tahoma" w:cs="Tahoma" w:eastAsia="Tahoma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ahoma" w:hAnsi="Tahoma" w:cs="Tahoma" w:eastAsia="Tahom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phillip_dye@firenet.gov</w:t>
              </w:r>
            </w:hyperlink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614" w:hRule="auto"/>
          <w:jc w:val="left"/>
        </w:trPr>
        <w:tc>
          <w:tcPr>
            <w:tcW w:w="56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 and Time Products Delivered to Incident: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20201030      0120 PDT</w:t>
            </w:r>
          </w:p>
        </w:tc>
        <w:tc>
          <w:tcPr>
            <w:tcW w:w="565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275" w:hRule="auto"/>
          <w:jc w:val="left"/>
        </w:trPr>
        <w:tc>
          <w:tcPr>
            <w:tcW w:w="1129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25" w:leader="none"/>
              </w:tabs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Comments /notes on tonight’s mission and this interpretation: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southern edge of the Rattlesnake is the most active area of the fire.  The northern edge of the SQF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is also moving closer to the Rattlesnake, but not agressively. On the Eastern half of the fire the north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side's east and west shoulders are the most active.  The eastern half's North edge where it meets the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western half is slightly active.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Western half's northeastern side is moderately active.  The southern portions of the fire mostly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not active fire but has some isolated heat.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gbrown@sandiego.gov" Id="docRId0" Type="http://schemas.openxmlformats.org/officeDocument/2006/relationships/hyperlink" /><Relationship TargetMode="External" Target="mailto:phillip_dye@firenet.gov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