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FD" w:rsidRDefault="00190BFD">
      <w:pPr>
        <w:pStyle w:val="BodyTextIndent"/>
        <w:ind w:left="0"/>
        <w:jc w:val="both"/>
        <w:rPr>
          <w:rFonts w:ascii="Verdana" w:hAnsi="Verdana"/>
          <w:sz w:val="20"/>
        </w:rPr>
      </w:pPr>
      <w:r>
        <w:rPr>
          <w:rFonts w:ascii="Verdana" w:hAnsi="Verdana"/>
          <w:sz w:val="20"/>
        </w:rPr>
        <w:t xml:space="preserve">Under authority of the Act of Congress of June 4, 1897, 16 USC 551, and pursuant to the Secretary of Agriculture’s Regulations set forth at 36 CFR 261.50(a) and 261.50(b), </w:t>
      </w:r>
      <w:r w:rsidR="00535EE7">
        <w:rPr>
          <w:rFonts w:ascii="Verdana" w:hAnsi="Verdana"/>
          <w:sz w:val="20"/>
        </w:rPr>
        <w:t xml:space="preserve">and 261.50(f), </w:t>
      </w:r>
      <w:r>
        <w:rPr>
          <w:rFonts w:ascii="Verdana" w:hAnsi="Verdana"/>
          <w:sz w:val="20"/>
        </w:rPr>
        <w:t>the following acts or omissions ar</w:t>
      </w:r>
      <w:r w:rsidR="000E4901">
        <w:rPr>
          <w:rFonts w:ascii="Verdana" w:hAnsi="Verdana"/>
          <w:sz w:val="20"/>
        </w:rPr>
        <w:t>e prohibited on portions of</w:t>
      </w:r>
      <w:r w:rsidR="00E24859">
        <w:rPr>
          <w:rFonts w:ascii="Verdana" w:hAnsi="Verdana"/>
          <w:sz w:val="20"/>
        </w:rPr>
        <w:t xml:space="preserve"> Superior National Forest</w:t>
      </w:r>
      <w:r w:rsidR="000E4901">
        <w:rPr>
          <w:rFonts w:ascii="Verdana" w:hAnsi="Verdana"/>
          <w:sz w:val="20"/>
        </w:rPr>
        <w:t xml:space="preserve"> System lands, roads and trails</w:t>
      </w:r>
      <w:r w:rsidR="00E24859">
        <w:rPr>
          <w:rFonts w:ascii="Verdana" w:hAnsi="Verdana"/>
          <w:sz w:val="20"/>
        </w:rPr>
        <w:t>,</w:t>
      </w:r>
      <w:r w:rsidR="00A24072">
        <w:rPr>
          <w:rFonts w:ascii="Verdana" w:hAnsi="Verdana"/>
          <w:sz w:val="20"/>
        </w:rPr>
        <w:t xml:space="preserve"> Lake County</w:t>
      </w:r>
      <w:r w:rsidR="00913878">
        <w:rPr>
          <w:rFonts w:ascii="Verdana" w:hAnsi="Verdana"/>
          <w:sz w:val="20"/>
        </w:rPr>
        <w:t>.</w:t>
      </w:r>
      <w:r>
        <w:rPr>
          <w:rFonts w:ascii="Verdana" w:hAnsi="Verdana"/>
          <w:sz w:val="20"/>
        </w:rPr>
        <w:t xml:space="preserve"> Minnesota</w:t>
      </w:r>
      <w:r w:rsidR="009238C8">
        <w:rPr>
          <w:rFonts w:ascii="Verdana" w:hAnsi="Verdana"/>
          <w:sz w:val="20"/>
        </w:rPr>
        <w:t xml:space="preserve">, effective </w:t>
      </w:r>
      <w:r w:rsidR="00781690">
        <w:rPr>
          <w:rFonts w:ascii="Verdana" w:hAnsi="Verdana"/>
          <w:sz w:val="20"/>
        </w:rPr>
        <w:t>September 10</w:t>
      </w:r>
      <w:r w:rsidR="00913878">
        <w:rPr>
          <w:rFonts w:ascii="Verdana" w:hAnsi="Verdana"/>
          <w:sz w:val="20"/>
        </w:rPr>
        <w:t>, 2011</w:t>
      </w:r>
      <w:r>
        <w:rPr>
          <w:rFonts w:ascii="Verdana" w:hAnsi="Verdana"/>
          <w:sz w:val="20"/>
        </w:rPr>
        <w:t>:</w:t>
      </w:r>
    </w:p>
    <w:p w:rsidR="00C9095F" w:rsidRDefault="00C9095F" w:rsidP="00C9095F">
      <w:pPr>
        <w:pStyle w:val="BodyTextIndent"/>
        <w:tabs>
          <w:tab w:val="left" w:pos="360"/>
        </w:tabs>
        <w:ind w:left="0" w:right="360"/>
        <w:jc w:val="both"/>
        <w:rPr>
          <w:rFonts w:ascii="Verdana" w:hAnsi="Verdana"/>
          <w:sz w:val="20"/>
        </w:rPr>
      </w:pPr>
    </w:p>
    <w:p w:rsidR="001F2677" w:rsidRDefault="003B0A74" w:rsidP="00913878">
      <w:pPr>
        <w:pStyle w:val="BodyTextIndent"/>
        <w:numPr>
          <w:ilvl w:val="0"/>
          <w:numId w:val="14"/>
        </w:numPr>
        <w:tabs>
          <w:tab w:val="left" w:pos="0"/>
        </w:tabs>
        <w:ind w:right="360"/>
        <w:jc w:val="both"/>
        <w:rPr>
          <w:rFonts w:ascii="Verdana" w:hAnsi="Verdana"/>
          <w:sz w:val="20"/>
        </w:rPr>
      </w:pPr>
      <w:r w:rsidRPr="003B0A74">
        <w:rPr>
          <w:rFonts w:ascii="Verdana" w:hAnsi="Verdana"/>
          <w:sz w:val="20"/>
          <w:u w:val="single"/>
        </w:rPr>
        <w:t>BWCAW CAMPSITE CLOSURE:</w:t>
      </w:r>
      <w:r>
        <w:rPr>
          <w:rFonts w:ascii="Verdana" w:hAnsi="Verdana"/>
          <w:sz w:val="20"/>
        </w:rPr>
        <w:t xml:space="preserve"> </w:t>
      </w:r>
      <w:r w:rsidR="00085E0C" w:rsidRPr="0005257B">
        <w:rPr>
          <w:rFonts w:ascii="Verdana" w:hAnsi="Verdana"/>
          <w:sz w:val="20"/>
        </w:rPr>
        <w:t xml:space="preserve">It is prohibited to </w:t>
      </w:r>
      <w:r w:rsidR="00743C6D" w:rsidRPr="00743C6D">
        <w:rPr>
          <w:rFonts w:ascii="Verdana" w:hAnsi="Verdana"/>
          <w:sz w:val="20"/>
        </w:rPr>
        <w:t xml:space="preserve">be upon </w:t>
      </w:r>
      <w:r w:rsidR="00085E0C" w:rsidRPr="0005257B">
        <w:rPr>
          <w:rFonts w:ascii="Verdana" w:hAnsi="Verdana"/>
          <w:sz w:val="20"/>
        </w:rPr>
        <w:t xml:space="preserve">BWCAW campsites at lakes </w:t>
      </w:r>
      <w:r w:rsidR="007A702C">
        <w:rPr>
          <w:rFonts w:ascii="Verdana" w:hAnsi="Verdana"/>
          <w:sz w:val="20"/>
        </w:rPr>
        <w:t>with sites</w:t>
      </w:r>
      <w:r w:rsidR="00085E0C" w:rsidRPr="0005257B">
        <w:rPr>
          <w:rFonts w:ascii="Verdana" w:hAnsi="Verdana"/>
          <w:sz w:val="20"/>
        </w:rPr>
        <w:t xml:space="preserve"> posted closed.  Closed campsites are marked with a closure notice visible at the site.  36 CFR 261.53(e) Special Closures, Public Health or Safety.</w:t>
      </w:r>
    </w:p>
    <w:p w:rsidR="00321822" w:rsidRDefault="00FE11EC" w:rsidP="00913878">
      <w:pPr>
        <w:pStyle w:val="BodyTextIndent"/>
        <w:numPr>
          <w:ilvl w:val="0"/>
          <w:numId w:val="14"/>
        </w:numPr>
        <w:tabs>
          <w:tab w:val="left" w:pos="360"/>
        </w:tabs>
        <w:ind w:right="360"/>
        <w:jc w:val="both"/>
        <w:rPr>
          <w:rFonts w:ascii="Verdana" w:hAnsi="Verdana"/>
          <w:sz w:val="20"/>
        </w:rPr>
      </w:pPr>
      <w:r>
        <w:rPr>
          <w:rFonts w:ascii="Verdana" w:hAnsi="Verdana"/>
          <w:sz w:val="20"/>
        </w:rPr>
        <w:t xml:space="preserve">AFFECTED AREA:  All </w:t>
      </w:r>
      <w:r w:rsidR="00913878">
        <w:rPr>
          <w:rFonts w:ascii="Verdana" w:hAnsi="Verdana"/>
          <w:sz w:val="20"/>
        </w:rPr>
        <w:t xml:space="preserve">campsites of the Boundary Waters Canoe Area Wilderness in the areas known as </w:t>
      </w:r>
      <w:r>
        <w:rPr>
          <w:rFonts w:ascii="Verdana" w:hAnsi="Verdana"/>
          <w:sz w:val="20"/>
        </w:rPr>
        <w:t>Clear Water Lake.</w:t>
      </w:r>
      <w:r w:rsidR="00913878">
        <w:rPr>
          <w:rFonts w:ascii="Verdana" w:hAnsi="Verdana"/>
          <w:sz w:val="20"/>
        </w:rPr>
        <w:t xml:space="preserve">  The campsites affected by this closure order include: all campsites on the </w:t>
      </w:r>
      <w:r>
        <w:rPr>
          <w:rFonts w:ascii="Verdana" w:hAnsi="Verdana"/>
          <w:sz w:val="20"/>
        </w:rPr>
        <w:t>Clear Water Lake</w:t>
      </w:r>
      <w:r w:rsidR="00483380">
        <w:rPr>
          <w:rFonts w:ascii="Verdana" w:hAnsi="Verdana"/>
          <w:sz w:val="20"/>
        </w:rPr>
        <w:t xml:space="preserve"> along with </w:t>
      </w:r>
      <w:r w:rsidR="00321822">
        <w:rPr>
          <w:rFonts w:ascii="Verdana" w:hAnsi="Verdana"/>
          <w:sz w:val="20"/>
        </w:rPr>
        <w:t xml:space="preserve">Portage from </w:t>
      </w:r>
      <w:proofErr w:type="spellStart"/>
      <w:r w:rsidR="00321822">
        <w:rPr>
          <w:rFonts w:ascii="Verdana" w:hAnsi="Verdana"/>
          <w:sz w:val="20"/>
        </w:rPr>
        <w:t>Pietro</w:t>
      </w:r>
      <w:proofErr w:type="spellEnd"/>
      <w:r w:rsidR="00321822">
        <w:rPr>
          <w:rFonts w:ascii="Verdana" w:hAnsi="Verdana"/>
          <w:sz w:val="20"/>
        </w:rPr>
        <w:t xml:space="preserve"> to </w:t>
      </w:r>
      <w:proofErr w:type="spellStart"/>
      <w:r w:rsidR="00321822">
        <w:rPr>
          <w:rFonts w:ascii="Verdana" w:hAnsi="Verdana"/>
          <w:sz w:val="20"/>
        </w:rPr>
        <w:t>Camdre</w:t>
      </w:r>
      <w:proofErr w:type="spellEnd"/>
      <w:r w:rsidR="00321822">
        <w:rPr>
          <w:rFonts w:ascii="Verdana" w:hAnsi="Verdana"/>
          <w:sz w:val="20"/>
        </w:rPr>
        <w:t xml:space="preserve"> to Clear Water </w:t>
      </w:r>
      <w:proofErr w:type="gramStart"/>
      <w:r w:rsidR="00321822">
        <w:rPr>
          <w:rFonts w:ascii="Verdana" w:hAnsi="Verdana"/>
          <w:sz w:val="20"/>
        </w:rPr>
        <w:t>Lake</w:t>
      </w:r>
      <w:r w:rsidR="00483380">
        <w:rPr>
          <w:rFonts w:ascii="Verdana" w:hAnsi="Verdana"/>
          <w:sz w:val="20"/>
        </w:rPr>
        <w:t xml:space="preserve"> </w:t>
      </w:r>
      <w:r w:rsidR="00913878">
        <w:rPr>
          <w:rFonts w:ascii="Verdana" w:hAnsi="Verdana"/>
          <w:sz w:val="20"/>
        </w:rPr>
        <w:t>.</w:t>
      </w:r>
      <w:proofErr w:type="gramEnd"/>
      <w:r w:rsidR="00913878" w:rsidRPr="00CF14ED">
        <w:rPr>
          <w:rFonts w:ascii="Verdana" w:hAnsi="Verdana"/>
          <w:sz w:val="20"/>
        </w:rPr>
        <w:t xml:space="preserve"> Township 6</w:t>
      </w:r>
      <w:r w:rsidR="00913878">
        <w:rPr>
          <w:rFonts w:ascii="Verdana" w:hAnsi="Verdana"/>
          <w:sz w:val="20"/>
        </w:rPr>
        <w:t>2</w:t>
      </w:r>
      <w:r w:rsidR="00913878" w:rsidRPr="00CF14ED">
        <w:rPr>
          <w:rFonts w:ascii="Verdana" w:hAnsi="Verdana"/>
          <w:sz w:val="20"/>
        </w:rPr>
        <w:t xml:space="preserve"> North, Range </w:t>
      </w:r>
      <w:r w:rsidR="00913878">
        <w:rPr>
          <w:rFonts w:ascii="Verdana" w:hAnsi="Verdana"/>
          <w:sz w:val="20"/>
        </w:rPr>
        <w:t>9</w:t>
      </w:r>
      <w:r w:rsidR="00483380">
        <w:rPr>
          <w:rFonts w:ascii="Verdana" w:hAnsi="Verdana"/>
          <w:sz w:val="20"/>
        </w:rPr>
        <w:t>-10</w:t>
      </w:r>
      <w:r w:rsidR="00913878" w:rsidRPr="00CF14ED">
        <w:rPr>
          <w:rFonts w:ascii="Verdana" w:hAnsi="Verdana"/>
          <w:sz w:val="20"/>
        </w:rPr>
        <w:t xml:space="preserve"> West, Sections </w:t>
      </w:r>
      <w:r w:rsidR="00321822">
        <w:rPr>
          <w:rFonts w:ascii="Verdana" w:hAnsi="Verdana"/>
          <w:sz w:val="20"/>
        </w:rPr>
        <w:t>4,</w:t>
      </w:r>
      <w:r w:rsidR="00483380">
        <w:rPr>
          <w:rFonts w:ascii="Verdana" w:hAnsi="Verdana"/>
          <w:sz w:val="20"/>
        </w:rPr>
        <w:t>5,6,7 and 8</w:t>
      </w:r>
      <w:r w:rsidR="00913878">
        <w:rPr>
          <w:rFonts w:ascii="Verdana" w:hAnsi="Verdana"/>
          <w:sz w:val="20"/>
        </w:rPr>
        <w:t xml:space="preserve">. </w:t>
      </w:r>
    </w:p>
    <w:p w:rsidR="00321822" w:rsidRDefault="00321822" w:rsidP="00913878">
      <w:pPr>
        <w:pStyle w:val="BodyTextIndent"/>
        <w:numPr>
          <w:ilvl w:val="0"/>
          <w:numId w:val="14"/>
        </w:numPr>
        <w:tabs>
          <w:tab w:val="left" w:pos="360"/>
        </w:tabs>
        <w:ind w:right="360"/>
        <w:jc w:val="both"/>
        <w:rPr>
          <w:rFonts w:ascii="Verdana" w:hAnsi="Verdana"/>
          <w:sz w:val="20"/>
        </w:rPr>
      </w:pPr>
      <w:r>
        <w:rPr>
          <w:rFonts w:ascii="Verdana" w:hAnsi="Verdana"/>
          <w:sz w:val="20"/>
        </w:rPr>
        <w:t>AFFECTED AREA: Campsites 1 and 2 of the Boundary Waters Canoe Area Wilderness in the areas known as Lake Two.  The campsites affected by this closure order include: Campsites 1 and 2 along with Clear Water Lake to Lake Two travel route. Township 63 N, Range 9 W, Sections 34</w:t>
      </w:r>
    </w:p>
    <w:p w:rsidR="00321822" w:rsidRDefault="00321822" w:rsidP="00913878">
      <w:pPr>
        <w:pStyle w:val="BodyTextIndent"/>
        <w:numPr>
          <w:ilvl w:val="0"/>
          <w:numId w:val="14"/>
        </w:numPr>
        <w:tabs>
          <w:tab w:val="left" w:pos="360"/>
        </w:tabs>
        <w:ind w:right="360"/>
        <w:jc w:val="both"/>
        <w:rPr>
          <w:rFonts w:ascii="Verdana" w:hAnsi="Verdana"/>
          <w:sz w:val="20"/>
        </w:rPr>
      </w:pPr>
      <w:r>
        <w:rPr>
          <w:rFonts w:ascii="Verdana" w:hAnsi="Verdana"/>
          <w:sz w:val="20"/>
        </w:rPr>
        <w:t xml:space="preserve">AFFECTED AREA: </w:t>
      </w:r>
      <w:r w:rsidR="00F97BEA">
        <w:rPr>
          <w:rFonts w:ascii="Verdana" w:hAnsi="Verdana"/>
          <w:sz w:val="20"/>
        </w:rPr>
        <w:t>Campsites 1,2,3,4 of the Boundary Waters Canoe Area Wilderness in the areas known as Lake Three.  The campsites affected by this closure order include:  Campsites 1</w:t>
      </w:r>
      <w:proofErr w:type="gramStart"/>
      <w:r w:rsidR="00F97BEA">
        <w:rPr>
          <w:rFonts w:ascii="Verdana" w:hAnsi="Verdana"/>
          <w:sz w:val="20"/>
        </w:rPr>
        <w:t>,2,3</w:t>
      </w:r>
      <w:proofErr w:type="gramEnd"/>
      <w:r w:rsidR="00F97BEA">
        <w:rPr>
          <w:rFonts w:ascii="Verdana" w:hAnsi="Verdana"/>
          <w:sz w:val="20"/>
        </w:rPr>
        <w:t xml:space="preserve"> and 4 Township 63 N, Range 9W, Section 34.</w:t>
      </w:r>
    </w:p>
    <w:p w:rsidR="00F97BEA" w:rsidRDefault="00F97BEA" w:rsidP="00913878">
      <w:pPr>
        <w:pStyle w:val="BodyTextIndent"/>
        <w:numPr>
          <w:ilvl w:val="0"/>
          <w:numId w:val="14"/>
        </w:numPr>
        <w:tabs>
          <w:tab w:val="left" w:pos="360"/>
        </w:tabs>
        <w:ind w:right="360"/>
        <w:jc w:val="both"/>
        <w:rPr>
          <w:rFonts w:ascii="Verdana" w:hAnsi="Verdana"/>
          <w:sz w:val="20"/>
        </w:rPr>
      </w:pPr>
      <w:r>
        <w:rPr>
          <w:rFonts w:ascii="Verdana" w:hAnsi="Verdana"/>
          <w:sz w:val="20"/>
        </w:rPr>
        <w:t>AFFECTED AREA: Portage from Turtle Lake to Clear Water Lake of the Boundary Waters Canoe Area Wilderness in the area known as the Turtle Lake to Clear Water Lake Portage.  Township 63N, Range 9W, Section 12.</w:t>
      </w:r>
    </w:p>
    <w:p w:rsidR="00913878" w:rsidRDefault="00913878" w:rsidP="00913878">
      <w:pPr>
        <w:pStyle w:val="BodyTextIndent"/>
        <w:numPr>
          <w:ilvl w:val="0"/>
          <w:numId w:val="14"/>
        </w:numPr>
        <w:tabs>
          <w:tab w:val="left" w:pos="360"/>
        </w:tabs>
        <w:ind w:right="360"/>
        <w:jc w:val="both"/>
        <w:rPr>
          <w:rFonts w:ascii="Verdana" w:hAnsi="Verdana"/>
          <w:sz w:val="20"/>
        </w:rPr>
      </w:pPr>
      <w:r>
        <w:rPr>
          <w:rFonts w:ascii="Verdana" w:hAnsi="Verdana"/>
          <w:sz w:val="20"/>
        </w:rPr>
        <w:t>Closure signs will be used at normal points of access to delineate the closure area.  See vicinity map, Exhibit A.</w:t>
      </w:r>
    </w:p>
    <w:p w:rsidR="00743C6D" w:rsidRDefault="00743C6D" w:rsidP="00DC5A18">
      <w:pPr>
        <w:pStyle w:val="BodyTextIndent"/>
        <w:tabs>
          <w:tab w:val="left" w:pos="540"/>
        </w:tabs>
        <w:ind w:left="0"/>
        <w:jc w:val="both"/>
        <w:rPr>
          <w:rFonts w:ascii="Verdana" w:hAnsi="Verdana"/>
          <w:sz w:val="20"/>
        </w:rPr>
      </w:pPr>
    </w:p>
    <w:p w:rsidR="001E0D00" w:rsidRDefault="001E0D00" w:rsidP="001E0D00">
      <w:pPr>
        <w:pStyle w:val="BodyTextIndent"/>
        <w:tabs>
          <w:tab w:val="left" w:pos="540"/>
        </w:tabs>
        <w:ind w:left="0"/>
        <w:jc w:val="both"/>
        <w:rPr>
          <w:rFonts w:ascii="Copperplate Gothic Light" w:hAnsi="Copperplate Gothic Light"/>
          <w:b/>
          <w:bCs/>
          <w:caps/>
          <w:sz w:val="20"/>
          <w:szCs w:val="20"/>
        </w:rPr>
      </w:pPr>
      <w:r>
        <w:rPr>
          <w:rFonts w:ascii="Copperplate Gothic Light" w:hAnsi="Copperplate Gothic Light"/>
          <w:b/>
          <w:bCs/>
          <w:caps/>
          <w:sz w:val="20"/>
        </w:rPr>
        <w:t xml:space="preserve">These emergency restrictions are necessary for the public’s health and </w:t>
      </w:r>
      <w:r>
        <w:rPr>
          <w:rFonts w:ascii="Copperplate Gothic Light" w:hAnsi="Copperplate Gothic Light"/>
          <w:b/>
          <w:bCs/>
          <w:caps/>
          <w:sz w:val="20"/>
          <w:szCs w:val="20"/>
        </w:rPr>
        <w:t xml:space="preserve">safety due to wildland fires </w:t>
      </w:r>
      <w:r w:rsidR="000E4901">
        <w:rPr>
          <w:rFonts w:ascii="Copperplate Gothic Light" w:hAnsi="Copperplate Gothic Light"/>
          <w:b/>
          <w:bCs/>
          <w:caps/>
          <w:sz w:val="20"/>
          <w:szCs w:val="20"/>
        </w:rPr>
        <w:t xml:space="preserve"> </w:t>
      </w:r>
      <w:r>
        <w:rPr>
          <w:rFonts w:ascii="Copperplate Gothic Light" w:hAnsi="Copperplate Gothic Light"/>
          <w:b/>
          <w:bCs/>
          <w:caps/>
          <w:sz w:val="20"/>
          <w:szCs w:val="20"/>
        </w:rPr>
        <w:t xml:space="preserve">in the vicinity of the affected </w:t>
      </w:r>
      <w:r>
        <w:rPr>
          <w:rFonts w:ascii="Copperplate Gothic Light" w:hAnsi="Copperplate Gothic Light"/>
          <w:b/>
          <w:caps/>
          <w:sz w:val="20"/>
          <w:szCs w:val="20"/>
        </w:rPr>
        <w:t xml:space="preserve">lands, waters, trails, portages, canoe routes, and developed recreation sites.  </w:t>
      </w:r>
      <w:r>
        <w:rPr>
          <w:rFonts w:ascii="Copperplate Gothic Light" w:hAnsi="Copperplate Gothic Light"/>
          <w:b/>
          <w:bCs/>
          <w:caps/>
          <w:sz w:val="20"/>
          <w:szCs w:val="20"/>
        </w:rPr>
        <w:t xml:space="preserve">These restrictions will remain in effect as long as they are posted on-site AND until rescinded.  </w:t>
      </w:r>
    </w:p>
    <w:p w:rsidR="001E0D00" w:rsidRDefault="001E0D00" w:rsidP="001E0D00">
      <w:pPr>
        <w:pStyle w:val="BodyTextIndent"/>
        <w:tabs>
          <w:tab w:val="left" w:pos="540"/>
        </w:tabs>
        <w:ind w:left="0"/>
        <w:jc w:val="both"/>
        <w:rPr>
          <w:rFonts w:ascii="Copperplate Gothic Light" w:hAnsi="Copperplate Gothic Light"/>
          <w:b/>
          <w:bCs/>
          <w:caps/>
          <w:sz w:val="20"/>
          <w:szCs w:val="20"/>
        </w:rPr>
      </w:pPr>
      <w:r>
        <w:rPr>
          <w:rFonts w:ascii="Copperplate Gothic Light" w:hAnsi="Copperplate Gothic Light"/>
          <w:b/>
          <w:bCs/>
          <w:caps/>
          <w:sz w:val="20"/>
          <w:szCs w:val="20"/>
        </w:rPr>
        <w:t xml:space="preserve">These restrictions are in addition to the general prohibitions found at 36 CFR 261, Subpart A, the general occupancy and uSE restrictions found in Forest Order NoS. </w:t>
      </w:r>
      <w:proofErr w:type="gramStart"/>
      <w:r>
        <w:rPr>
          <w:rFonts w:ascii="Copperplate Gothic Light" w:hAnsi="Copperplate Gothic Light"/>
          <w:b/>
          <w:bCs/>
          <w:caps/>
          <w:sz w:val="20"/>
          <w:szCs w:val="20"/>
        </w:rPr>
        <w:t>R909-06-01, R909-05-02, R909-04-06.</w:t>
      </w:r>
      <w:proofErr w:type="gramEnd"/>
    </w:p>
    <w:p w:rsidR="00A25ADD" w:rsidRDefault="00A25ADD" w:rsidP="001E0D00">
      <w:pPr>
        <w:pStyle w:val="BodyTextIndent"/>
        <w:tabs>
          <w:tab w:val="left" w:pos="540"/>
        </w:tabs>
        <w:ind w:left="0"/>
        <w:jc w:val="both"/>
        <w:rPr>
          <w:rFonts w:ascii="Copperplate Gothic Light" w:hAnsi="Copperplate Gothic Light"/>
          <w:b/>
          <w:bCs/>
          <w:caps/>
          <w:sz w:val="20"/>
          <w:szCs w:val="20"/>
        </w:rPr>
      </w:pPr>
    </w:p>
    <w:p w:rsidR="00190BFD" w:rsidRDefault="00190BFD">
      <w:pPr>
        <w:pStyle w:val="BodyTextIndent"/>
        <w:tabs>
          <w:tab w:val="left" w:pos="540"/>
        </w:tabs>
        <w:ind w:left="0"/>
        <w:jc w:val="both"/>
        <w:rPr>
          <w:rFonts w:ascii="Copperplate Gothic Bold" w:hAnsi="Copperplate Gothic Bold"/>
          <w:bCs/>
          <w:sz w:val="20"/>
        </w:rPr>
      </w:pPr>
    </w:p>
    <w:p w:rsidR="00190BFD" w:rsidRDefault="00190BFD">
      <w:pPr>
        <w:pStyle w:val="BodyTextIndent"/>
        <w:tabs>
          <w:tab w:val="left" w:pos="540"/>
        </w:tabs>
        <w:ind w:left="0"/>
        <w:jc w:val="both"/>
        <w:rPr>
          <w:rFonts w:ascii="Verdana" w:hAnsi="Verdana"/>
          <w:sz w:val="20"/>
        </w:rPr>
      </w:pPr>
      <w:r>
        <w:rPr>
          <w:rFonts w:ascii="Verdana" w:hAnsi="Verdana"/>
          <w:sz w:val="20"/>
        </w:rPr>
        <w:t>Pursuant to 36 CFR 261.50(e), the following persons are exempt from this order:</w:t>
      </w:r>
    </w:p>
    <w:p w:rsidR="00190BFD" w:rsidRDefault="00190BFD">
      <w:pPr>
        <w:pStyle w:val="BodyTextIndent"/>
        <w:tabs>
          <w:tab w:val="left" w:pos="540"/>
          <w:tab w:val="left" w:pos="720"/>
        </w:tabs>
        <w:ind w:left="0"/>
        <w:jc w:val="both"/>
        <w:rPr>
          <w:rFonts w:ascii="Verdana" w:hAnsi="Verdana"/>
          <w:sz w:val="20"/>
        </w:rPr>
      </w:pPr>
    </w:p>
    <w:p w:rsidR="001E0D00" w:rsidRDefault="001E0D00" w:rsidP="001E0D00">
      <w:pPr>
        <w:pStyle w:val="BodyTextIndent"/>
        <w:numPr>
          <w:ilvl w:val="0"/>
          <w:numId w:val="9"/>
        </w:numPr>
        <w:tabs>
          <w:tab w:val="clear" w:pos="885"/>
          <w:tab w:val="left" w:pos="540"/>
          <w:tab w:val="num" w:pos="720"/>
        </w:tabs>
        <w:ind w:left="0" w:firstLine="0"/>
        <w:jc w:val="both"/>
        <w:rPr>
          <w:rFonts w:ascii="Verdana" w:hAnsi="Verdana"/>
          <w:sz w:val="20"/>
        </w:rPr>
      </w:pPr>
      <w:r>
        <w:rPr>
          <w:rFonts w:ascii="Verdana" w:hAnsi="Verdana"/>
          <w:sz w:val="20"/>
        </w:rPr>
        <w:t>Persons with a permit specifically authorizing the otherwise prohibited act or omission.</w:t>
      </w:r>
    </w:p>
    <w:p w:rsidR="001E0D00" w:rsidRDefault="001E0D00" w:rsidP="001E0D00">
      <w:pPr>
        <w:pStyle w:val="BodyTextIndent"/>
        <w:tabs>
          <w:tab w:val="left" w:pos="540"/>
        </w:tabs>
        <w:ind w:left="0"/>
        <w:jc w:val="both"/>
        <w:rPr>
          <w:rFonts w:ascii="Verdana" w:hAnsi="Verdana"/>
          <w:sz w:val="20"/>
        </w:rPr>
      </w:pPr>
    </w:p>
    <w:p w:rsidR="001E0D00" w:rsidRDefault="001E0D00" w:rsidP="001E0D00">
      <w:pPr>
        <w:pStyle w:val="BodyTextIndent"/>
        <w:numPr>
          <w:ilvl w:val="0"/>
          <w:numId w:val="9"/>
        </w:numPr>
        <w:tabs>
          <w:tab w:val="clear" w:pos="885"/>
          <w:tab w:val="left" w:pos="540"/>
          <w:tab w:val="num" w:pos="720"/>
        </w:tabs>
        <w:ind w:left="0" w:firstLine="0"/>
        <w:jc w:val="both"/>
        <w:rPr>
          <w:rFonts w:ascii="Verdana" w:hAnsi="Verdana"/>
          <w:sz w:val="20"/>
        </w:rPr>
      </w:pPr>
      <w:r>
        <w:rPr>
          <w:rFonts w:ascii="Verdana" w:hAnsi="Verdana"/>
          <w:sz w:val="20"/>
        </w:rPr>
        <w:t>Any Federal, State, or local officer, or member of any organized rescue or fire fighting force in the performance of an official duty.</w:t>
      </w:r>
    </w:p>
    <w:p w:rsidR="000E4901" w:rsidRDefault="000E4901" w:rsidP="000E4901">
      <w:pPr>
        <w:pStyle w:val="BodyTextIndent"/>
        <w:tabs>
          <w:tab w:val="left" w:pos="540"/>
        </w:tabs>
        <w:ind w:left="0"/>
        <w:jc w:val="both"/>
        <w:rPr>
          <w:rFonts w:ascii="Verdana" w:hAnsi="Verdana"/>
          <w:sz w:val="20"/>
        </w:rPr>
      </w:pPr>
    </w:p>
    <w:p w:rsidR="000E4901" w:rsidRDefault="000E4901" w:rsidP="000E4901">
      <w:pPr>
        <w:pStyle w:val="BodyTextIndent"/>
        <w:tabs>
          <w:tab w:val="left" w:pos="540"/>
        </w:tabs>
        <w:ind w:left="0"/>
        <w:jc w:val="both"/>
        <w:rPr>
          <w:rFonts w:ascii="Verdana" w:hAnsi="Verdana"/>
          <w:sz w:val="20"/>
        </w:rPr>
      </w:pPr>
      <w:r>
        <w:rPr>
          <w:rFonts w:ascii="Verdana" w:hAnsi="Verdana"/>
          <w:sz w:val="20"/>
        </w:rPr>
        <w:t>3.</w:t>
      </w:r>
      <w:r>
        <w:rPr>
          <w:rFonts w:ascii="Verdana" w:hAnsi="Verdana"/>
          <w:sz w:val="20"/>
        </w:rPr>
        <w:tab/>
        <w:t>Persons engaged in a business, trade or occupation in the area, when authorized and when accompanied by a Forest Officer or official member of the Incident Command Team.</w:t>
      </w:r>
    </w:p>
    <w:p w:rsidR="00190BFD" w:rsidRDefault="00190BFD">
      <w:pPr>
        <w:pStyle w:val="BodyTextIndent"/>
        <w:tabs>
          <w:tab w:val="left" w:pos="540"/>
        </w:tabs>
        <w:ind w:left="0"/>
        <w:jc w:val="both"/>
        <w:rPr>
          <w:rFonts w:ascii="Verdana" w:hAnsi="Verdana"/>
          <w:sz w:val="20"/>
        </w:rPr>
      </w:pPr>
    </w:p>
    <w:p w:rsidR="00190BFD" w:rsidRDefault="00190BFD">
      <w:pPr>
        <w:pStyle w:val="BodyTextIndent"/>
        <w:tabs>
          <w:tab w:val="left" w:pos="540"/>
        </w:tabs>
        <w:ind w:left="0"/>
        <w:jc w:val="both"/>
        <w:rPr>
          <w:rFonts w:ascii="Verdana" w:hAnsi="Verdana"/>
          <w:sz w:val="20"/>
        </w:rPr>
      </w:pPr>
      <w:r>
        <w:rPr>
          <w:rFonts w:ascii="Verdana" w:hAnsi="Verdana"/>
          <w:sz w:val="20"/>
        </w:rPr>
        <w:lastRenderedPageBreak/>
        <w:t xml:space="preserve">Dated this </w:t>
      </w:r>
      <w:r>
        <w:rPr>
          <w:rFonts w:ascii="Verdana" w:hAnsi="Verdana"/>
          <w:sz w:val="20"/>
          <w:u w:val="single"/>
        </w:rPr>
        <w:t xml:space="preserve">  </w:t>
      </w:r>
      <w:r w:rsidR="00FE11EC">
        <w:rPr>
          <w:rFonts w:ascii="Comic Sans MS" w:hAnsi="Comic Sans MS"/>
          <w:sz w:val="20"/>
          <w:u w:val="single"/>
        </w:rPr>
        <w:t>09th</w:t>
      </w:r>
      <w:r w:rsidRPr="00052C65">
        <w:rPr>
          <w:rFonts w:ascii="Verdana" w:hAnsi="Verdana"/>
          <w:sz w:val="20"/>
          <w:u w:val="single"/>
        </w:rPr>
        <w:t xml:space="preserve">  </w:t>
      </w:r>
      <w:r>
        <w:rPr>
          <w:rFonts w:ascii="Verdana" w:hAnsi="Verdana"/>
          <w:sz w:val="20"/>
          <w:u w:val="single"/>
        </w:rPr>
        <w:t xml:space="preserve">    </w:t>
      </w:r>
      <w:r>
        <w:rPr>
          <w:rFonts w:ascii="Verdana" w:hAnsi="Verdana"/>
          <w:sz w:val="20"/>
        </w:rPr>
        <w:t xml:space="preserve">  day of </w:t>
      </w:r>
      <w:r w:rsidR="00831879">
        <w:rPr>
          <w:rFonts w:ascii="Verdana" w:hAnsi="Verdana"/>
          <w:sz w:val="20"/>
          <w:u w:val="single"/>
        </w:rPr>
        <w:t xml:space="preserve">   </w:t>
      </w:r>
      <w:proofErr w:type="gramStart"/>
      <w:r w:rsidR="00FE11EC">
        <w:rPr>
          <w:rFonts w:ascii="Comic Sans MS" w:hAnsi="Comic Sans MS"/>
          <w:sz w:val="20"/>
          <w:u w:val="single"/>
        </w:rPr>
        <w:t>September</w:t>
      </w:r>
      <w:r>
        <w:rPr>
          <w:rFonts w:ascii="Verdana" w:hAnsi="Verdana"/>
          <w:sz w:val="20"/>
          <w:u w:val="single"/>
        </w:rPr>
        <w:t xml:space="preserve"> </w:t>
      </w:r>
      <w:r w:rsidR="00831879">
        <w:rPr>
          <w:rFonts w:ascii="Verdana" w:hAnsi="Verdana"/>
          <w:sz w:val="20"/>
        </w:rPr>
        <w:t>,</w:t>
      </w:r>
      <w:proofErr w:type="gramEnd"/>
      <w:r w:rsidR="00831879">
        <w:rPr>
          <w:rFonts w:ascii="Verdana" w:hAnsi="Verdana"/>
          <w:sz w:val="20"/>
        </w:rPr>
        <w:t xml:space="preserve"> 20</w:t>
      </w:r>
      <w:r w:rsidR="00913878">
        <w:rPr>
          <w:rFonts w:ascii="Verdana" w:hAnsi="Verdana"/>
          <w:sz w:val="20"/>
        </w:rPr>
        <w:t>11</w:t>
      </w:r>
      <w:r>
        <w:rPr>
          <w:rFonts w:ascii="Verdana" w:hAnsi="Verdana"/>
          <w:sz w:val="20"/>
        </w:rPr>
        <w:t xml:space="preserve"> Duluth, Minnesota.</w:t>
      </w:r>
    </w:p>
    <w:p w:rsidR="00190BFD" w:rsidRDefault="00190BFD">
      <w:pPr>
        <w:pStyle w:val="BodyTextIndent"/>
        <w:tabs>
          <w:tab w:val="left" w:pos="540"/>
        </w:tabs>
        <w:ind w:left="0"/>
        <w:jc w:val="both"/>
        <w:rPr>
          <w:rFonts w:ascii="Verdana" w:hAnsi="Verdana"/>
          <w:sz w:val="20"/>
        </w:rPr>
      </w:pPr>
    </w:p>
    <w:p w:rsidR="00C306A0" w:rsidRDefault="00C306A0">
      <w:pPr>
        <w:pStyle w:val="BodyTextIndent"/>
        <w:tabs>
          <w:tab w:val="left" w:pos="540"/>
        </w:tabs>
        <w:ind w:left="0"/>
        <w:jc w:val="both"/>
        <w:rPr>
          <w:rFonts w:ascii="Verdana" w:hAnsi="Verdana"/>
          <w:sz w:val="20"/>
        </w:rPr>
      </w:pPr>
    </w:p>
    <w:p w:rsidR="00C306A0" w:rsidRDefault="00C306A0">
      <w:pPr>
        <w:pStyle w:val="BodyTextIndent"/>
        <w:tabs>
          <w:tab w:val="left" w:pos="540"/>
        </w:tabs>
        <w:ind w:left="0"/>
        <w:jc w:val="both"/>
        <w:rPr>
          <w:rFonts w:ascii="Verdana" w:hAnsi="Verdana"/>
          <w:sz w:val="20"/>
        </w:rPr>
      </w:pPr>
    </w:p>
    <w:p w:rsidR="00190BFD" w:rsidRPr="00052C65" w:rsidRDefault="00190BFD">
      <w:pPr>
        <w:pStyle w:val="BodyTextIndent"/>
        <w:tabs>
          <w:tab w:val="left" w:pos="540"/>
        </w:tabs>
        <w:ind w:left="0"/>
        <w:rPr>
          <w:rFonts w:ascii="Comic Sans MS" w:hAnsi="Comic Sans MS"/>
          <w:b/>
          <w:sz w:val="32"/>
          <w:szCs w:val="32"/>
          <w:u w:val="single"/>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FE6749">
        <w:rPr>
          <w:rFonts w:ascii="Verdana" w:hAnsi="Verdana"/>
          <w:sz w:val="20"/>
        </w:rPr>
        <w:tab/>
      </w:r>
      <w:r w:rsidR="00D138E3">
        <w:rPr>
          <w:rFonts w:ascii="Verdana" w:hAnsi="Verdana"/>
          <w:sz w:val="20"/>
        </w:rPr>
        <w:t xml:space="preserve">/s/ </w:t>
      </w:r>
      <w:r w:rsidR="00D138E3" w:rsidRPr="00D138E3">
        <w:rPr>
          <w:rFonts w:ascii="Freestyle Script" w:hAnsi="Freestyle Script"/>
          <w:sz w:val="32"/>
          <w:szCs w:val="32"/>
        </w:rPr>
        <w:t xml:space="preserve">Tim </w:t>
      </w:r>
      <w:proofErr w:type="spellStart"/>
      <w:r w:rsidR="00D138E3" w:rsidRPr="00D138E3">
        <w:rPr>
          <w:rFonts w:ascii="Freestyle Script" w:hAnsi="Freestyle Script"/>
          <w:sz w:val="32"/>
          <w:szCs w:val="32"/>
        </w:rPr>
        <w:t>Dabney</w:t>
      </w:r>
      <w:proofErr w:type="spellEnd"/>
      <w:r w:rsidR="00D138E3" w:rsidRPr="00D138E3">
        <w:rPr>
          <w:rFonts w:ascii="Freestyle Script" w:hAnsi="Freestyle Script"/>
          <w:sz w:val="32"/>
          <w:szCs w:val="32"/>
        </w:rPr>
        <w:tab/>
      </w:r>
    </w:p>
    <w:p w:rsidR="00190BFD" w:rsidRDefault="006E0A14">
      <w:pPr>
        <w:pStyle w:val="BodyTextIndent"/>
        <w:tabs>
          <w:tab w:val="left" w:pos="540"/>
        </w:tabs>
        <w:ind w:left="0"/>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Pr>
          <w:rFonts w:ascii="Verdana" w:hAnsi="Verdana"/>
          <w:sz w:val="20"/>
        </w:rPr>
        <w:tab/>
      </w:r>
      <w:r w:rsidR="0006241D">
        <w:rPr>
          <w:rFonts w:ascii="Verdana" w:hAnsi="Verdana"/>
          <w:sz w:val="20"/>
        </w:rPr>
        <w:t xml:space="preserve">Tim </w:t>
      </w:r>
      <w:proofErr w:type="spellStart"/>
      <w:r w:rsidR="0006241D">
        <w:rPr>
          <w:rFonts w:ascii="Verdana" w:hAnsi="Verdana"/>
          <w:sz w:val="20"/>
        </w:rPr>
        <w:t>Dabney</w:t>
      </w:r>
      <w:proofErr w:type="spellEnd"/>
    </w:p>
    <w:p w:rsidR="00190BFD" w:rsidRDefault="00804E64">
      <w:pPr>
        <w:pStyle w:val="BodyTextIndent"/>
        <w:tabs>
          <w:tab w:val="left" w:pos="540"/>
        </w:tabs>
        <w:ind w:left="0"/>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913878">
        <w:rPr>
          <w:rFonts w:ascii="Verdana" w:hAnsi="Verdana"/>
          <w:sz w:val="20"/>
        </w:rPr>
        <w:t xml:space="preserve">Deputy </w:t>
      </w:r>
      <w:r w:rsidR="00190BFD">
        <w:rPr>
          <w:rFonts w:ascii="Verdana" w:hAnsi="Verdana"/>
          <w:sz w:val="20"/>
        </w:rPr>
        <w:t>Forest Supervisor</w:t>
      </w:r>
    </w:p>
    <w:p w:rsidR="00AB5663" w:rsidRDefault="00190BFD">
      <w:pPr>
        <w:pStyle w:val="BodyTextIndent"/>
        <w:tabs>
          <w:tab w:val="left" w:pos="540"/>
        </w:tabs>
        <w:ind w:left="0"/>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Superior National Forest</w:t>
      </w:r>
    </w:p>
    <w:p w:rsidR="00AB5663" w:rsidRDefault="00AB5663">
      <w:pPr>
        <w:pStyle w:val="BodyTextIndent"/>
        <w:tabs>
          <w:tab w:val="left" w:pos="540"/>
        </w:tabs>
        <w:ind w:left="0"/>
        <w:rPr>
          <w:rFonts w:ascii="Verdana" w:hAnsi="Verdana"/>
          <w:sz w:val="20"/>
        </w:rPr>
      </w:pPr>
    </w:p>
    <w:p w:rsidR="00AB5663" w:rsidRDefault="00AB5663" w:rsidP="00AB5663">
      <w:pPr>
        <w:pStyle w:val="BodyTextIndent"/>
        <w:tabs>
          <w:tab w:val="left" w:pos="540"/>
        </w:tabs>
        <w:ind w:left="0"/>
        <w:jc w:val="both"/>
        <w:rPr>
          <w:rFonts w:ascii="Verdana" w:hAnsi="Verdana"/>
          <w:sz w:val="20"/>
        </w:rPr>
      </w:pPr>
      <w:r>
        <w:rPr>
          <w:rFonts w:ascii="Verdana" w:hAnsi="Verdana"/>
          <w:sz w:val="20"/>
        </w:rPr>
        <w:t xml:space="preserve">Violations of these prohibitions are punishable by a fine of not more than $5,000.00 for an individual or $10,000 for an organization, or imprisonment for not more than 6 months, or both.  </w:t>
      </w:r>
      <w:proofErr w:type="gramStart"/>
      <w:r>
        <w:rPr>
          <w:rFonts w:ascii="Verdana" w:hAnsi="Verdana"/>
          <w:sz w:val="20"/>
        </w:rPr>
        <w:t>[16 USC § 551, 18 USC §§ 3559 and 3571.]</w:t>
      </w:r>
      <w:proofErr w:type="gramEnd"/>
    </w:p>
    <w:p w:rsidR="00AB5663" w:rsidRDefault="00AB5663">
      <w:pPr>
        <w:pStyle w:val="BodyTextIndent"/>
        <w:tabs>
          <w:tab w:val="left" w:pos="540"/>
        </w:tabs>
        <w:ind w:left="0"/>
        <w:rPr>
          <w:rFonts w:ascii="Verdana" w:hAnsi="Verdana"/>
          <w:sz w:val="20"/>
        </w:rPr>
      </w:pPr>
    </w:p>
    <w:sectPr w:rsidR="00AB5663" w:rsidSect="0006241D">
      <w:headerReference w:type="default" r:id="rId8"/>
      <w:pgSz w:w="12240" w:h="15840"/>
      <w:pgMar w:top="1440" w:right="1728" w:bottom="720"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E6B" w:rsidRDefault="00137E6B">
      <w:r>
        <w:separator/>
      </w:r>
    </w:p>
  </w:endnote>
  <w:endnote w:type="continuationSeparator" w:id="0">
    <w:p w:rsidR="00137E6B" w:rsidRDefault="00137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E6B" w:rsidRDefault="00137E6B">
      <w:r>
        <w:separator/>
      </w:r>
    </w:p>
  </w:footnote>
  <w:footnote w:type="continuationSeparator" w:id="0">
    <w:p w:rsidR="00137E6B" w:rsidRDefault="00137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2C" w:rsidRPr="00B04B34" w:rsidRDefault="00873B2C">
    <w:pPr>
      <w:pStyle w:val="Heading2"/>
      <w:ind w:left="-180" w:right="360"/>
      <w:jc w:val="right"/>
      <w:rPr>
        <w:rFonts w:ascii="Copperplate Gothic Light" w:hAnsi="Copperplate Gothic Light"/>
        <w:bCs w:val="0"/>
        <w:caps/>
        <w:sz w:val="20"/>
      </w:rPr>
    </w:pPr>
    <w:proofErr w:type="gramStart"/>
    <w:r w:rsidRPr="00B04B34">
      <w:rPr>
        <w:rFonts w:ascii="Copperplate Gothic Light" w:hAnsi="Copperplate Gothic Light"/>
        <w:bCs w:val="0"/>
        <w:caps/>
        <w:sz w:val="20"/>
      </w:rPr>
      <w:t>Order No.</w:t>
    </w:r>
    <w:proofErr w:type="gramEnd"/>
    <w:r w:rsidRPr="00B04B34">
      <w:rPr>
        <w:rFonts w:ascii="Copperplate Gothic Light" w:hAnsi="Copperplate Gothic Light"/>
        <w:bCs w:val="0"/>
        <w:caps/>
        <w:sz w:val="20"/>
      </w:rPr>
      <w:t xml:space="preserve"> R909-</w:t>
    </w:r>
    <w:r w:rsidR="00F97BEA">
      <w:rPr>
        <w:rFonts w:ascii="Copperplate Gothic Light" w:hAnsi="Copperplate Gothic Light"/>
        <w:bCs w:val="0"/>
        <w:caps/>
        <w:sz w:val="20"/>
      </w:rPr>
      <w:t>11</w:t>
    </w:r>
    <w:r>
      <w:rPr>
        <w:rFonts w:ascii="Copperplate Gothic Light" w:hAnsi="Copperplate Gothic Light"/>
        <w:bCs w:val="0"/>
        <w:caps/>
        <w:sz w:val="20"/>
      </w:rPr>
      <w:t>-</w:t>
    </w:r>
    <w:r w:rsidR="00F97BEA">
      <w:rPr>
        <w:rFonts w:ascii="Copperplate Gothic Light" w:hAnsi="Copperplate Gothic Light"/>
        <w:bCs w:val="0"/>
        <w:caps/>
        <w:sz w:val="20"/>
      </w:rPr>
      <w:t>02</w:t>
    </w:r>
  </w:p>
  <w:p w:rsidR="00873B2C" w:rsidRPr="00B04B34" w:rsidRDefault="00873B2C">
    <w:pPr>
      <w:ind w:left="-180" w:right="360"/>
      <w:rPr>
        <w:rFonts w:ascii="Copperplate Gothic Light" w:hAnsi="Copperplate Gothic Light"/>
        <w:b/>
        <w:caps/>
        <w:sz w:val="20"/>
      </w:rPr>
    </w:pPr>
  </w:p>
  <w:p w:rsidR="00873B2C" w:rsidRPr="00B04B34" w:rsidRDefault="00873B2C">
    <w:pPr>
      <w:tabs>
        <w:tab w:val="left" w:pos="9360"/>
      </w:tabs>
      <w:jc w:val="center"/>
      <w:rPr>
        <w:rFonts w:ascii="Copperplate Gothic Light" w:hAnsi="Copperplate Gothic Light"/>
        <w:b/>
        <w:caps/>
        <w:sz w:val="20"/>
      </w:rPr>
    </w:pPr>
    <w:r w:rsidRPr="00B04B34">
      <w:rPr>
        <w:rFonts w:ascii="Copperplate Gothic Light" w:hAnsi="Copperplate Gothic Light"/>
        <w:b/>
        <w:caps/>
        <w:sz w:val="20"/>
      </w:rPr>
      <w:t xml:space="preserve">ORDER OF THE </w:t>
    </w:r>
    <w:smartTag w:uri="urn:schemas-microsoft-com:office:smarttags" w:element="place">
      <w:r w:rsidRPr="00B04B34">
        <w:rPr>
          <w:rFonts w:ascii="Copperplate Gothic Light" w:hAnsi="Copperplate Gothic Light"/>
          <w:b/>
          <w:caps/>
          <w:sz w:val="20"/>
        </w:rPr>
        <w:t>FOREST</w:t>
      </w:r>
    </w:smartTag>
    <w:r w:rsidRPr="00B04B34">
      <w:rPr>
        <w:rFonts w:ascii="Copperplate Gothic Light" w:hAnsi="Copperplate Gothic Light"/>
        <w:b/>
        <w:caps/>
        <w:sz w:val="20"/>
      </w:rPr>
      <w:t xml:space="preserve"> SUPERVISOR</w:t>
    </w:r>
  </w:p>
  <w:p w:rsidR="00873B2C" w:rsidRDefault="00873B2C" w:rsidP="00C76134">
    <w:pPr>
      <w:jc w:val="center"/>
      <w:rPr>
        <w:rFonts w:ascii="Copperplate Gothic Light" w:hAnsi="Copperplate Gothic Light"/>
        <w:b/>
        <w:caps/>
        <w:sz w:val="20"/>
      </w:rPr>
    </w:pPr>
    <w:r w:rsidRPr="00B04B34">
      <w:rPr>
        <w:rFonts w:ascii="Copperplate Gothic Light" w:hAnsi="Copperplate Gothic Light"/>
        <w:b/>
        <w:caps/>
        <w:sz w:val="20"/>
      </w:rPr>
      <w:t>EMERGENCY PUBLIC SAFETY</w:t>
    </w:r>
    <w:r>
      <w:rPr>
        <w:rFonts w:ascii="Copperplate Gothic Light" w:hAnsi="Copperplate Gothic Light"/>
        <w:b/>
        <w:caps/>
        <w:sz w:val="20"/>
      </w:rPr>
      <w:t xml:space="preserve"> </w:t>
    </w:r>
    <w:r w:rsidRPr="00B04B34">
      <w:rPr>
        <w:rFonts w:ascii="Copperplate Gothic Light" w:hAnsi="Copperplate Gothic Light"/>
        <w:b/>
        <w:caps/>
        <w:sz w:val="20"/>
      </w:rPr>
      <w:t xml:space="preserve">CLOSURE </w:t>
    </w:r>
    <w:r>
      <w:rPr>
        <w:rFonts w:ascii="Copperplate Gothic Light" w:hAnsi="Copperplate Gothic Light"/>
        <w:b/>
        <w:caps/>
        <w:sz w:val="20"/>
      </w:rPr>
      <w:t xml:space="preserve"> </w:t>
    </w:r>
  </w:p>
  <w:p w:rsidR="00873B2C" w:rsidRPr="00B04B34" w:rsidRDefault="00873B2C" w:rsidP="00C76134">
    <w:pPr>
      <w:jc w:val="center"/>
      <w:rPr>
        <w:rFonts w:ascii="Copperplate Gothic Light" w:hAnsi="Copperplate Gothic Light"/>
        <w:b/>
        <w:caps/>
        <w:sz w:val="20"/>
      </w:rPr>
    </w:pPr>
    <w:r w:rsidRPr="00B04B34">
      <w:rPr>
        <w:rFonts w:ascii="Copperplate Gothic Light" w:hAnsi="Copperplate Gothic Light"/>
        <w:b/>
        <w:caps/>
        <w:sz w:val="20"/>
      </w:rPr>
      <w:t>AFFECTIng</w:t>
    </w:r>
    <w:r>
      <w:rPr>
        <w:rFonts w:ascii="Copperplate Gothic Light" w:hAnsi="Copperplate Gothic Light"/>
        <w:b/>
        <w:caps/>
        <w:sz w:val="20"/>
      </w:rPr>
      <w:t xml:space="preserve"> Portions of </w:t>
    </w:r>
  </w:p>
  <w:p w:rsidR="00873B2C" w:rsidRPr="00B04B34" w:rsidRDefault="00873B2C" w:rsidP="00C76134">
    <w:pPr>
      <w:jc w:val="center"/>
      <w:rPr>
        <w:rFonts w:ascii="Copperplate Gothic Light" w:hAnsi="Copperplate Gothic Light"/>
        <w:b/>
        <w:caps/>
        <w:sz w:val="20"/>
      </w:rPr>
    </w:pPr>
    <w:r w:rsidRPr="00B04B34">
      <w:rPr>
        <w:rFonts w:ascii="Copperplate Gothic Light" w:hAnsi="Copperplate Gothic Light"/>
        <w:b/>
        <w:caps/>
        <w:sz w:val="20"/>
      </w:rPr>
      <w:t xml:space="preserve">THE </w:t>
    </w:r>
    <w:smartTag w:uri="urn:schemas-microsoft-com:office:smarttags" w:element="place">
      <w:smartTag w:uri="urn:schemas-microsoft-com:office:smarttags" w:element="PlaceName">
        <w:r>
          <w:rPr>
            <w:rFonts w:ascii="Copperplate Gothic Light" w:hAnsi="Copperplate Gothic Light"/>
            <w:b/>
            <w:caps/>
            <w:sz w:val="20"/>
          </w:rPr>
          <w:t>SUPERIOR</w:t>
        </w:r>
      </w:smartTag>
      <w:r>
        <w:rPr>
          <w:rFonts w:ascii="Copperplate Gothic Light" w:hAnsi="Copperplate Gothic Light"/>
          <w:b/>
          <w:caps/>
          <w:sz w:val="20"/>
        </w:rPr>
        <w:t xml:space="preserve"> </w:t>
      </w:r>
      <w:smartTag w:uri="urn:schemas-microsoft-com:office:smarttags" w:element="PlaceType">
        <w:r>
          <w:rPr>
            <w:rFonts w:ascii="Copperplate Gothic Light" w:hAnsi="Copperplate Gothic Light"/>
            <w:b/>
            <w:caps/>
            <w:sz w:val="20"/>
          </w:rPr>
          <w:t>NATIONAL FOREST</w:t>
        </w:r>
      </w:smartTag>
    </w:smartTag>
  </w:p>
  <w:p w:rsidR="00873B2C" w:rsidRPr="00B04B34" w:rsidRDefault="00873B2C" w:rsidP="00C76134">
    <w:pPr>
      <w:jc w:val="center"/>
      <w:rPr>
        <w:rFonts w:ascii="Copperplate Gothic Light" w:hAnsi="Copperplate Gothic Light"/>
        <w:b/>
        <w:caps/>
        <w:sz w:val="20"/>
      </w:rPr>
    </w:pPr>
  </w:p>
  <w:p w:rsidR="00873B2C" w:rsidRDefault="00873B2C">
    <w:pPr>
      <w:pStyle w:val="Header"/>
      <w:jc w:val="center"/>
      <w:rPr>
        <w:caps/>
        <w:sz w:val="20"/>
      </w:rPr>
    </w:pPr>
  </w:p>
  <w:p w:rsidR="00873B2C" w:rsidRDefault="00873B2C">
    <w:pPr>
      <w:pStyle w:val="Header"/>
      <w:jc w:val="center"/>
      <w:rPr>
        <w:cap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7DA4"/>
    <w:multiLevelType w:val="hybridMultilevel"/>
    <w:tmpl w:val="D2EE790A"/>
    <w:lvl w:ilvl="0" w:tplc="C10EC8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06534438"/>
    <w:multiLevelType w:val="hybridMultilevel"/>
    <w:tmpl w:val="EC4E23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6C09DB"/>
    <w:multiLevelType w:val="hybridMultilevel"/>
    <w:tmpl w:val="6B563C78"/>
    <w:lvl w:ilvl="0" w:tplc="32FAF240">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ADA38A3"/>
    <w:multiLevelType w:val="hybridMultilevel"/>
    <w:tmpl w:val="D090DBC4"/>
    <w:lvl w:ilvl="0" w:tplc="76286EA2">
      <w:start w:val="1"/>
      <w:numFmt w:val="decimal"/>
      <w:lvlText w:val="%1."/>
      <w:lvlJc w:val="left"/>
      <w:pPr>
        <w:tabs>
          <w:tab w:val="num" w:pos="60"/>
        </w:tabs>
        <w:ind w:left="60" w:hanging="360"/>
      </w:pPr>
      <w:rPr>
        <w:rFonts w:hint="default"/>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4">
    <w:nsid w:val="349F08C1"/>
    <w:multiLevelType w:val="hybridMultilevel"/>
    <w:tmpl w:val="F4D885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AC22A5"/>
    <w:multiLevelType w:val="hybridMultilevel"/>
    <w:tmpl w:val="AA0614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9766A"/>
    <w:multiLevelType w:val="hybridMultilevel"/>
    <w:tmpl w:val="D23CD5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6B04D6"/>
    <w:multiLevelType w:val="hybridMultilevel"/>
    <w:tmpl w:val="B5D2CAD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nsid w:val="4BA116AA"/>
    <w:multiLevelType w:val="hybridMultilevel"/>
    <w:tmpl w:val="0AAA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B81440"/>
    <w:multiLevelType w:val="hybridMultilevel"/>
    <w:tmpl w:val="8D7E9040"/>
    <w:lvl w:ilvl="0" w:tplc="57409090">
      <w:start w:val="2"/>
      <w:numFmt w:val="upperRoman"/>
      <w:lvlText w:val="%1."/>
      <w:lvlJc w:val="left"/>
      <w:pPr>
        <w:tabs>
          <w:tab w:val="num" w:pos="540"/>
        </w:tabs>
        <w:ind w:left="54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nsid w:val="59F71209"/>
    <w:multiLevelType w:val="hybridMultilevel"/>
    <w:tmpl w:val="568244D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FA7317"/>
    <w:multiLevelType w:val="hybridMultilevel"/>
    <w:tmpl w:val="FDB0D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F056E8"/>
    <w:multiLevelType w:val="hybridMultilevel"/>
    <w:tmpl w:val="832238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B53511"/>
    <w:multiLevelType w:val="hybridMultilevel"/>
    <w:tmpl w:val="1CFA1F82"/>
    <w:lvl w:ilvl="0" w:tplc="32FAF240">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num w:numId="1">
    <w:abstractNumId w:val="6"/>
  </w:num>
  <w:num w:numId="2">
    <w:abstractNumId w:val="0"/>
  </w:num>
  <w:num w:numId="3">
    <w:abstractNumId w:val="1"/>
  </w:num>
  <w:num w:numId="4">
    <w:abstractNumId w:val="4"/>
  </w:num>
  <w:num w:numId="5">
    <w:abstractNumId w:val="11"/>
  </w:num>
  <w:num w:numId="6">
    <w:abstractNumId w:val="3"/>
  </w:num>
  <w:num w:numId="7">
    <w:abstractNumId w:val="5"/>
  </w:num>
  <w:num w:numId="8">
    <w:abstractNumId w:val="13"/>
  </w:num>
  <w:num w:numId="9">
    <w:abstractNumId w:val="2"/>
  </w:num>
  <w:num w:numId="10">
    <w:abstractNumId w:val="9"/>
  </w:num>
  <w:num w:numId="11">
    <w:abstractNumId w:val="7"/>
  </w:num>
  <w:num w:numId="12">
    <w:abstractNumId w:val="12"/>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B20E5"/>
    <w:rsid w:val="0001182D"/>
    <w:rsid w:val="000233F6"/>
    <w:rsid w:val="0002798C"/>
    <w:rsid w:val="0003252C"/>
    <w:rsid w:val="0005257B"/>
    <w:rsid w:val="00052C65"/>
    <w:rsid w:val="0006241D"/>
    <w:rsid w:val="00082110"/>
    <w:rsid w:val="00083F1C"/>
    <w:rsid w:val="00085E0C"/>
    <w:rsid w:val="000A5945"/>
    <w:rsid w:val="000C1855"/>
    <w:rsid w:val="000D05D0"/>
    <w:rsid w:val="000E4901"/>
    <w:rsid w:val="000F3ABC"/>
    <w:rsid w:val="00114572"/>
    <w:rsid w:val="00121A86"/>
    <w:rsid w:val="00137AE1"/>
    <w:rsid w:val="00137E6B"/>
    <w:rsid w:val="00151E31"/>
    <w:rsid w:val="00190BFD"/>
    <w:rsid w:val="00193BDF"/>
    <w:rsid w:val="001A376C"/>
    <w:rsid w:val="001B20E5"/>
    <w:rsid w:val="001B783C"/>
    <w:rsid w:val="001C1D5D"/>
    <w:rsid w:val="001E0D00"/>
    <w:rsid w:val="001E1090"/>
    <w:rsid w:val="001E5E94"/>
    <w:rsid w:val="001F2677"/>
    <w:rsid w:val="001F6AB6"/>
    <w:rsid w:val="00206B87"/>
    <w:rsid w:val="00217BD8"/>
    <w:rsid w:val="00234BA1"/>
    <w:rsid w:val="00270242"/>
    <w:rsid w:val="00281B77"/>
    <w:rsid w:val="002B571D"/>
    <w:rsid w:val="002D2465"/>
    <w:rsid w:val="002F31C0"/>
    <w:rsid w:val="002F710B"/>
    <w:rsid w:val="00300F82"/>
    <w:rsid w:val="0031399E"/>
    <w:rsid w:val="00321822"/>
    <w:rsid w:val="003635F5"/>
    <w:rsid w:val="00377366"/>
    <w:rsid w:val="003B0A74"/>
    <w:rsid w:val="003D322A"/>
    <w:rsid w:val="00455FA8"/>
    <w:rsid w:val="0047015D"/>
    <w:rsid w:val="00483380"/>
    <w:rsid w:val="00487602"/>
    <w:rsid w:val="004979B8"/>
    <w:rsid w:val="004A69B5"/>
    <w:rsid w:val="004B252A"/>
    <w:rsid w:val="004E395E"/>
    <w:rsid w:val="00520DA2"/>
    <w:rsid w:val="005230CC"/>
    <w:rsid w:val="0052530C"/>
    <w:rsid w:val="00535EE7"/>
    <w:rsid w:val="005378B0"/>
    <w:rsid w:val="005632DF"/>
    <w:rsid w:val="005854E0"/>
    <w:rsid w:val="005955C2"/>
    <w:rsid w:val="00595E01"/>
    <w:rsid w:val="005975DE"/>
    <w:rsid w:val="005B1AB6"/>
    <w:rsid w:val="005B6E92"/>
    <w:rsid w:val="005C171A"/>
    <w:rsid w:val="005C1948"/>
    <w:rsid w:val="005C5775"/>
    <w:rsid w:val="005C72E3"/>
    <w:rsid w:val="005E32CF"/>
    <w:rsid w:val="00610FDD"/>
    <w:rsid w:val="00616280"/>
    <w:rsid w:val="00620F36"/>
    <w:rsid w:val="006247EE"/>
    <w:rsid w:val="00677DE4"/>
    <w:rsid w:val="006C2E5D"/>
    <w:rsid w:val="006E0A14"/>
    <w:rsid w:val="007137EF"/>
    <w:rsid w:val="00733046"/>
    <w:rsid w:val="007346EF"/>
    <w:rsid w:val="00743C6D"/>
    <w:rsid w:val="007519D5"/>
    <w:rsid w:val="007554DB"/>
    <w:rsid w:val="00762662"/>
    <w:rsid w:val="00780CF2"/>
    <w:rsid w:val="00781690"/>
    <w:rsid w:val="007A702C"/>
    <w:rsid w:val="007C7AFE"/>
    <w:rsid w:val="00804E64"/>
    <w:rsid w:val="00813366"/>
    <w:rsid w:val="00821722"/>
    <w:rsid w:val="00831879"/>
    <w:rsid w:val="008343BB"/>
    <w:rsid w:val="0083579F"/>
    <w:rsid w:val="00842C96"/>
    <w:rsid w:val="00873B2C"/>
    <w:rsid w:val="008802B0"/>
    <w:rsid w:val="00896320"/>
    <w:rsid w:val="008B1C97"/>
    <w:rsid w:val="008B2461"/>
    <w:rsid w:val="008C63D2"/>
    <w:rsid w:val="008D274C"/>
    <w:rsid w:val="008E11D8"/>
    <w:rsid w:val="0090775F"/>
    <w:rsid w:val="00913878"/>
    <w:rsid w:val="009238C8"/>
    <w:rsid w:val="00927923"/>
    <w:rsid w:val="00927E1D"/>
    <w:rsid w:val="009501BC"/>
    <w:rsid w:val="00980071"/>
    <w:rsid w:val="009A36C0"/>
    <w:rsid w:val="009C4FDD"/>
    <w:rsid w:val="00A0535D"/>
    <w:rsid w:val="00A12EAD"/>
    <w:rsid w:val="00A21A18"/>
    <w:rsid w:val="00A24072"/>
    <w:rsid w:val="00A25ADD"/>
    <w:rsid w:val="00A409D0"/>
    <w:rsid w:val="00A56EE1"/>
    <w:rsid w:val="00A75F43"/>
    <w:rsid w:val="00AA4E23"/>
    <w:rsid w:val="00AB32F5"/>
    <w:rsid w:val="00AB5663"/>
    <w:rsid w:val="00AC35C4"/>
    <w:rsid w:val="00AC4486"/>
    <w:rsid w:val="00AD249E"/>
    <w:rsid w:val="00AF6FBF"/>
    <w:rsid w:val="00B04B34"/>
    <w:rsid w:val="00B24CAD"/>
    <w:rsid w:val="00B25E0D"/>
    <w:rsid w:val="00B34B84"/>
    <w:rsid w:val="00B51ED4"/>
    <w:rsid w:val="00B60841"/>
    <w:rsid w:val="00B6154F"/>
    <w:rsid w:val="00B61CC5"/>
    <w:rsid w:val="00B77556"/>
    <w:rsid w:val="00B80AE3"/>
    <w:rsid w:val="00BB3EDC"/>
    <w:rsid w:val="00BC1ED5"/>
    <w:rsid w:val="00BE13F3"/>
    <w:rsid w:val="00C2161A"/>
    <w:rsid w:val="00C306A0"/>
    <w:rsid w:val="00C74728"/>
    <w:rsid w:val="00C76134"/>
    <w:rsid w:val="00C76E59"/>
    <w:rsid w:val="00C85C4A"/>
    <w:rsid w:val="00C9095F"/>
    <w:rsid w:val="00CA4551"/>
    <w:rsid w:val="00CE2511"/>
    <w:rsid w:val="00D138E3"/>
    <w:rsid w:val="00D17899"/>
    <w:rsid w:val="00D228D0"/>
    <w:rsid w:val="00D32DE9"/>
    <w:rsid w:val="00D80EC2"/>
    <w:rsid w:val="00DA1C75"/>
    <w:rsid w:val="00DA1EB8"/>
    <w:rsid w:val="00DB15B7"/>
    <w:rsid w:val="00DB3B1A"/>
    <w:rsid w:val="00DC5A18"/>
    <w:rsid w:val="00DC6D3C"/>
    <w:rsid w:val="00DC79C4"/>
    <w:rsid w:val="00DF1823"/>
    <w:rsid w:val="00DF7A84"/>
    <w:rsid w:val="00E15F1F"/>
    <w:rsid w:val="00E22EBA"/>
    <w:rsid w:val="00E24859"/>
    <w:rsid w:val="00E35830"/>
    <w:rsid w:val="00E373E3"/>
    <w:rsid w:val="00E7209C"/>
    <w:rsid w:val="00E80FB3"/>
    <w:rsid w:val="00E90A18"/>
    <w:rsid w:val="00EA25B5"/>
    <w:rsid w:val="00EB32FC"/>
    <w:rsid w:val="00ED6B87"/>
    <w:rsid w:val="00EE3588"/>
    <w:rsid w:val="00EF2615"/>
    <w:rsid w:val="00F264C0"/>
    <w:rsid w:val="00F556C1"/>
    <w:rsid w:val="00F62AF8"/>
    <w:rsid w:val="00F71161"/>
    <w:rsid w:val="00F96080"/>
    <w:rsid w:val="00F97BEA"/>
    <w:rsid w:val="00FB4446"/>
    <w:rsid w:val="00FB6DCF"/>
    <w:rsid w:val="00FE11EC"/>
    <w:rsid w:val="00FE6749"/>
    <w:rsid w:val="00FF1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6EF"/>
    <w:rPr>
      <w:sz w:val="24"/>
      <w:szCs w:val="24"/>
    </w:rPr>
  </w:style>
  <w:style w:type="paragraph" w:styleId="Heading1">
    <w:name w:val="heading 1"/>
    <w:basedOn w:val="Normal"/>
    <w:next w:val="Normal"/>
    <w:qFormat/>
    <w:rsid w:val="007346EF"/>
    <w:pPr>
      <w:keepNext/>
      <w:ind w:left="-720"/>
      <w:jc w:val="center"/>
      <w:outlineLvl w:val="0"/>
    </w:pPr>
    <w:rPr>
      <w:sz w:val="28"/>
    </w:rPr>
  </w:style>
  <w:style w:type="paragraph" w:styleId="Heading2">
    <w:name w:val="heading 2"/>
    <w:basedOn w:val="Normal"/>
    <w:next w:val="Normal"/>
    <w:qFormat/>
    <w:rsid w:val="007346EF"/>
    <w:pPr>
      <w:keepNext/>
      <w:ind w:left="-720"/>
      <w:outlineLvl w:val="1"/>
    </w:pPr>
    <w:rPr>
      <w:b/>
      <w:bCs/>
    </w:rPr>
  </w:style>
  <w:style w:type="paragraph" w:styleId="Heading3">
    <w:name w:val="heading 3"/>
    <w:basedOn w:val="Normal"/>
    <w:next w:val="Normal"/>
    <w:qFormat/>
    <w:rsid w:val="007346EF"/>
    <w:pPr>
      <w:keepNext/>
      <w:ind w:left="-180" w:right="360"/>
      <w:jc w:val="center"/>
      <w:outlineLvl w:val="2"/>
    </w:pPr>
    <w:rPr>
      <w:rFonts w:ascii="Copperplate Gothic Bold" w:hAnsi="Copperplate Gothic Bold"/>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346EF"/>
    <w:pPr>
      <w:ind w:left="-720"/>
    </w:pPr>
    <w:rPr>
      <w:sz w:val="28"/>
    </w:rPr>
  </w:style>
  <w:style w:type="paragraph" w:customStyle="1" w:styleId="Cell">
    <w:name w:val="Cell"/>
    <w:basedOn w:val="Normal"/>
    <w:rsid w:val="007346EF"/>
    <w:pPr>
      <w:widowControl w:val="0"/>
      <w:autoSpaceDE w:val="0"/>
      <w:autoSpaceDN w:val="0"/>
      <w:adjustRightInd w:val="0"/>
    </w:pPr>
    <w:rPr>
      <w:rFonts w:ascii="Times" w:hAnsi="Times"/>
      <w:noProof/>
      <w:color w:val="000000"/>
    </w:rPr>
  </w:style>
  <w:style w:type="paragraph" w:styleId="Header">
    <w:name w:val="header"/>
    <w:basedOn w:val="Normal"/>
    <w:rsid w:val="007346EF"/>
    <w:pPr>
      <w:tabs>
        <w:tab w:val="center" w:pos="4320"/>
        <w:tab w:val="right" w:pos="8640"/>
      </w:tabs>
    </w:pPr>
  </w:style>
  <w:style w:type="paragraph" w:styleId="Footer">
    <w:name w:val="footer"/>
    <w:basedOn w:val="Normal"/>
    <w:rsid w:val="007346EF"/>
    <w:pPr>
      <w:tabs>
        <w:tab w:val="center" w:pos="4320"/>
        <w:tab w:val="right" w:pos="8640"/>
      </w:tabs>
    </w:pPr>
  </w:style>
  <w:style w:type="paragraph" w:styleId="BalloonText">
    <w:name w:val="Balloon Text"/>
    <w:basedOn w:val="Normal"/>
    <w:semiHidden/>
    <w:rsid w:val="00B25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2ADB-5034-4E75-86A3-E3909CCA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Order No</vt:lpstr>
    </vt:vector>
  </TitlesOfParts>
  <Company>USDA Forest Service</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Order No</dc:title>
  <dc:subject/>
  <dc:creator>USDA</dc:creator>
  <cp:keywords/>
  <dc:description/>
  <cp:lastModifiedBy>kasperheim</cp:lastModifiedBy>
  <cp:revision>5</cp:revision>
  <cp:lastPrinted>2007-12-18T19:26:00Z</cp:lastPrinted>
  <dcterms:created xsi:type="dcterms:W3CDTF">2011-09-09T18:04:00Z</dcterms:created>
  <dcterms:modified xsi:type="dcterms:W3CDTF">2011-09-09T18:22:00Z</dcterms:modified>
</cp:coreProperties>
</file>