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Head</w:t>
            </w:r>
          </w:p>
          <w:p w:rsidR="00983E0F" w:rsidRPr="00CB255A" w:rsidRDefault="00983E0F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UT-SWS-000</w:t>
            </w:r>
            <w:r w:rsidR="00EE6F12">
              <w:rPr>
                <w:rFonts w:ascii="Tahoma" w:hAnsi="Tahoma" w:cs="Tahoma"/>
                <w:sz w:val="20"/>
                <w:szCs w:val="20"/>
              </w:rPr>
              <w:t>218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1F52E8" w:rsidRPr="00CB255A" w:rsidRDefault="001F52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CCIFC</w:t>
            </w:r>
          </w:p>
          <w:p w:rsidR="00946C95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(435-865-4600)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E74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71,669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BB4FB7" w:rsidRDefault="009748D6" w:rsidP="0061616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="00BB4FB7">
              <w:rPr>
                <w:rFonts w:ascii="Tahoma" w:hAnsi="Tahoma" w:cs="Tahoma"/>
                <w:b/>
                <w:sz w:val="20"/>
                <w:szCs w:val="20"/>
              </w:rPr>
              <w:t xml:space="preserve">since last </w:t>
            </w:r>
            <w:r w:rsidR="00616167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 w:rsidR="00BB4FB7">
              <w:rPr>
                <w:rFonts w:ascii="Tahoma" w:hAnsi="Tahoma" w:cs="Tahoma"/>
                <w:b/>
                <w:sz w:val="20"/>
                <w:szCs w:val="20"/>
              </w:rPr>
              <w:t xml:space="preserve"> Perimeter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BB4FB7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1516EF">
              <w:rPr>
                <w:rFonts w:ascii="Tahoma" w:hAnsi="Tahoma" w:cs="Tahoma"/>
                <w:sz w:val="20"/>
                <w:szCs w:val="20"/>
              </w:rPr>
              <w:t>9</w:t>
            </w:r>
            <w:r w:rsidR="00BB4FB7" w:rsidRPr="00BB4FB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74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0233</w:t>
            </w:r>
            <w:r w:rsidR="001F52E8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E74858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10</w:t>
            </w:r>
            <w:r w:rsidR="001F52E8">
              <w:rPr>
                <w:rFonts w:ascii="Tahoma" w:hAnsi="Tahoma" w:cs="Tahoma"/>
                <w:sz w:val="20"/>
                <w:szCs w:val="20"/>
              </w:rPr>
              <w:t>, 201</w:t>
            </w:r>
            <w:r w:rsidR="00EE6F1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3766B" w:rsidRPr="00B3766B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E6F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46C9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BB4F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Mike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Mattfeldt</w:t>
            </w:r>
            <w:proofErr w:type="spellEnd"/>
          </w:p>
          <w:p w:rsidR="00946C95" w:rsidRPr="00CB255A" w:rsidRDefault="00EE6F12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 Unit - </w:t>
            </w:r>
            <w:r w:rsidR="00BB4FB7">
              <w:rPr>
                <w:rFonts w:ascii="Tahoma" w:hAnsi="Tahoma" w:cs="Tahoma"/>
                <w:sz w:val="20"/>
                <w:szCs w:val="20"/>
              </w:rPr>
              <w:t xml:space="preserve"> (202-306-2444</w:t>
            </w:r>
            <w:r w:rsidR="00946C9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921EB" w:rsidRPr="00CB255A" w:rsidRDefault="00431947" w:rsidP="00CA1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5540E">
              <w:rPr>
                <w:rFonts w:ascii="Tahoma" w:hAnsi="Tahoma" w:cs="Tahoma"/>
                <w:sz w:val="20"/>
                <w:szCs w:val="20"/>
              </w:rPr>
              <w:t>3</w:t>
            </w:r>
            <w:r w:rsidR="00E7485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22B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EA5477">
              <w:rPr>
                <w:rFonts w:ascii="Tahoma" w:hAnsi="Tahoma" w:cs="Tahoma"/>
                <w:sz w:val="20"/>
                <w:szCs w:val="20"/>
              </w:rPr>
              <w:t>144</w:t>
            </w:r>
            <w:r w:rsidR="00946C95">
              <w:rPr>
                <w:rFonts w:ascii="Tahoma" w:hAnsi="Tahoma" w:cs="Tahoma"/>
                <w:sz w:val="20"/>
                <w:szCs w:val="20"/>
              </w:rPr>
              <w:t>Z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/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</w:t>
            </w:r>
            <w:r w:rsidR="00EA5477">
              <w:rPr>
                <w:rFonts w:ascii="Arial" w:hAnsi="Arial" w:cs="Arial"/>
                <w:color w:val="444444"/>
                <w:sz w:val="20"/>
                <w:szCs w:val="20"/>
              </w:rPr>
              <w:t>eft: Boyce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</w:t>
            </w:r>
            <w:r w:rsidR="00F056EA">
              <w:rPr>
                <w:rFonts w:ascii="Arial" w:hAnsi="Arial" w:cs="Arial"/>
                <w:color w:val="444444"/>
                <w:sz w:val="20"/>
                <w:szCs w:val="20"/>
              </w:rPr>
              <w:t>ight:</w:t>
            </w:r>
          </w:p>
          <w:p w:rsidR="009748D6" w:rsidRPr="00CB255A" w:rsidRDefault="00322BFE" w:rsidP="00653E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ech: </w:t>
            </w:r>
            <w:r w:rsidR="00EA5477">
              <w:rPr>
                <w:rFonts w:ascii="Arial" w:hAnsi="Arial" w:cs="Arial"/>
                <w:color w:val="444444"/>
                <w:sz w:val="20"/>
                <w:szCs w:val="20"/>
              </w:rPr>
              <w:t>Rob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056EA" w:rsidP="00E748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5DEC">
              <w:rPr>
                <w:rFonts w:ascii="Tahoma" w:hAnsi="Tahoma" w:cs="Tahoma"/>
                <w:sz w:val="20"/>
                <w:szCs w:val="20"/>
              </w:rPr>
              <w:t>Pass -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Clear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Both Color and O</w:t>
            </w:r>
            <w:r w:rsidR="00775DEC">
              <w:rPr>
                <w:rFonts w:ascii="Tahoma" w:hAnsi="Tahoma" w:cs="Tahoma"/>
                <w:sz w:val="20"/>
                <w:szCs w:val="20"/>
              </w:rPr>
              <w:t xml:space="preserve">rtho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E74858">
              <w:rPr>
                <w:rFonts w:ascii="Tahoma" w:hAnsi="Tahoma" w:cs="Tahoma"/>
                <w:sz w:val="20"/>
                <w:szCs w:val="20"/>
              </w:rPr>
              <w:t xml:space="preserve"> on most of the fire but cloud cover on the east side blocked a large portion of the fire.</w:t>
            </w:r>
            <w:r w:rsidR="001B6A9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46C95" w:rsidP="00E748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and map Heat perimeter, Scattered Heat and Isolated Heat </w:t>
            </w: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E74858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07/10</w:t>
            </w:r>
            <w:r w:rsidR="00EE6F12"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0315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46C95" w:rsidP="00946C9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6C95"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775DEC">
              <w:rPr>
                <w:rFonts w:ascii="Tahoma" w:hAnsi="Tahoma" w:cs="Tahoma"/>
                <w:b/>
                <w:sz w:val="20"/>
                <w:szCs w:val="20"/>
              </w:rPr>
              <w:t xml:space="preserve"> NIFC FTP @</w:t>
            </w:r>
          </w:p>
          <w:p w:rsidR="009748D6" w:rsidRPr="000309F5" w:rsidRDefault="00EE6F12" w:rsidP="00CA18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E6F12">
              <w:rPr>
                <w:rFonts w:ascii="Tahoma" w:hAnsi="Tahoma" w:cs="Tahoma"/>
                <w:sz w:val="20"/>
                <w:szCs w:val="20"/>
              </w:rPr>
              <w:t>/incident_specific_data/great_basin/20</w:t>
            </w:r>
            <w:r w:rsidR="001712FD">
              <w:rPr>
                <w:rFonts w:ascii="Tahoma" w:hAnsi="Tahoma" w:cs="Tahoma"/>
                <w:sz w:val="20"/>
                <w:szCs w:val="20"/>
              </w:rPr>
              <w:t>1</w:t>
            </w:r>
            <w:r w:rsidR="00E74858">
              <w:rPr>
                <w:rFonts w:ascii="Tahoma" w:hAnsi="Tahoma" w:cs="Tahoma"/>
                <w:sz w:val="20"/>
                <w:szCs w:val="20"/>
              </w:rPr>
              <w:t>7_Incidents/BrianHead/IR/20170710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74858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07/10</w:t>
            </w:r>
            <w:r w:rsidR="00EE6F12"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0430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(MDT)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23761" w:rsidRDefault="0001682A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 xml:space="preserve">Started interpretation with </w:t>
            </w:r>
            <w:r w:rsidR="00616167">
              <w:rPr>
                <w:rFonts w:ascii="Tahoma" w:hAnsi="Tahoma" w:cs="Tahoma"/>
                <w:sz w:val="20"/>
                <w:szCs w:val="20"/>
              </w:rPr>
              <w:t>last night’s IR perimeter</w:t>
            </w:r>
            <w:r w:rsidR="00B3766B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E74858">
              <w:rPr>
                <w:rFonts w:ascii="Tahoma" w:hAnsi="Tahoma" w:cs="Tahoma"/>
                <w:sz w:val="20"/>
                <w:szCs w:val="20"/>
              </w:rPr>
              <w:t xml:space="preserve">The fire perimeter increased </w:t>
            </w:r>
            <w:r w:rsidR="001516EF">
              <w:rPr>
                <w:rFonts w:ascii="Tahoma" w:hAnsi="Tahoma" w:cs="Tahoma"/>
                <w:sz w:val="20"/>
                <w:szCs w:val="20"/>
              </w:rPr>
              <w:t xml:space="preserve">9 acres since the previous IR flight.  </w:t>
            </w:r>
            <w:r w:rsidR="00E74858">
              <w:rPr>
                <w:rFonts w:ascii="Tahoma" w:hAnsi="Tahoma" w:cs="Tahoma"/>
                <w:sz w:val="20"/>
                <w:szCs w:val="20"/>
              </w:rPr>
              <w:t>It might have increased by as much as 20 but I found an interior island polygon that needed to be clipped out of the interior that was contributing to acreage totals.</w:t>
            </w:r>
          </w:p>
          <w:p w:rsidR="000921EB" w:rsidRPr="00D74499" w:rsidRDefault="00C23761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Pr="00D74499">
              <w:rPr>
                <w:rFonts w:ascii="Tahoma" w:hAnsi="Tahoma" w:cs="Tahoma"/>
                <w:sz w:val="20"/>
                <w:szCs w:val="20"/>
              </w:rPr>
              <w:t>Heat Perimeter –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858">
              <w:rPr>
                <w:rFonts w:ascii="Tahoma" w:hAnsi="Tahoma" w:cs="Tahoma"/>
                <w:sz w:val="20"/>
                <w:szCs w:val="20"/>
              </w:rPr>
              <w:t>71,669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  <w:r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03B35" w:rsidRDefault="00287F45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Last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 xml:space="preserve">cres </w:t>
            </w:r>
            <w:r w:rsidR="00B3766B">
              <w:rPr>
                <w:rFonts w:ascii="Tahoma" w:hAnsi="Tahoma" w:cs="Tahoma"/>
                <w:sz w:val="20"/>
                <w:szCs w:val="20"/>
              </w:rPr>
              <w:t>–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858">
              <w:rPr>
                <w:rFonts w:ascii="Tahoma" w:hAnsi="Tahoma" w:cs="Tahoma"/>
                <w:sz w:val="20"/>
                <w:szCs w:val="20"/>
              </w:rPr>
              <w:t>71,660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A</w:t>
            </w:r>
            <w:r w:rsidR="0001682A" w:rsidRPr="00D74499">
              <w:rPr>
                <w:rFonts w:ascii="Tahoma" w:hAnsi="Tahoma" w:cs="Tahoma"/>
                <w:sz w:val="20"/>
                <w:szCs w:val="20"/>
              </w:rPr>
              <w:t>cres.</w:t>
            </w:r>
            <w:r w:rsidR="00850B43"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12DD6" w:rsidRDefault="005B7CF8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>Growth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from 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last period 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1516EF">
              <w:rPr>
                <w:rFonts w:ascii="Tahoma" w:hAnsi="Tahoma" w:cs="Tahoma"/>
                <w:sz w:val="20"/>
                <w:szCs w:val="20"/>
              </w:rPr>
              <w:t>9</w:t>
            </w:r>
            <w:r w:rsidR="00B777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771A" w:rsidRPr="00D74499">
              <w:rPr>
                <w:rFonts w:ascii="Tahoma" w:hAnsi="Tahoma" w:cs="Tahoma"/>
                <w:sz w:val="20"/>
                <w:szCs w:val="20"/>
              </w:rPr>
              <w:t>Acres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55630" w:rsidRDefault="0056731B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516EF">
              <w:rPr>
                <w:rFonts w:ascii="Tahoma" w:hAnsi="Tahoma" w:cs="Tahoma"/>
                <w:sz w:val="20"/>
                <w:szCs w:val="20"/>
              </w:rPr>
              <w:t>–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858">
              <w:rPr>
                <w:rFonts w:ascii="Tahoma" w:hAnsi="Tahoma" w:cs="Tahoma"/>
                <w:sz w:val="20"/>
                <w:szCs w:val="20"/>
              </w:rPr>
              <w:t>No intense heat was mapped.</w:t>
            </w:r>
          </w:p>
          <w:p w:rsidR="001516EF" w:rsidRDefault="001516EF" w:rsidP="00850D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is a </w:t>
            </w:r>
            <w:r w:rsidR="00E74858">
              <w:rPr>
                <w:rFonts w:ascii="Tahoma" w:hAnsi="Tahoma" w:cs="Tahoma"/>
                <w:sz w:val="20"/>
                <w:szCs w:val="20"/>
              </w:rPr>
              <w:t>diminished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amount of scattered heat remaining in the north part of the fire as well as scattered areas throughout the remainder of the fire.</w:t>
            </w:r>
            <w:r w:rsidR="00EA547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F056EA" w:rsidRDefault="001516EF" w:rsidP="00850D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heat sources can still be found throughout much of the fire </w:t>
            </w:r>
            <w:r w:rsidR="00E74858">
              <w:rPr>
                <w:rFonts w:ascii="Tahoma" w:hAnsi="Tahoma" w:cs="Tahoma"/>
                <w:sz w:val="20"/>
                <w:szCs w:val="20"/>
              </w:rPr>
              <w:t>but these are diminished from last night’s IR as less heat was detected and cloud cover shrouded some of the fire.</w:t>
            </w:r>
          </w:p>
          <w:p w:rsidR="00E74858" w:rsidRDefault="00E74858" w:rsidP="00850D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Significant cloud cover masked all areas of the fire east of 112 degrees 35 minutes.  This includes most of the 5-mile ridge area, 3-mile creek area and blue meadows area.</w:t>
            </w:r>
            <w:bookmarkStart w:id="0" w:name="_GoBack"/>
            <w:bookmarkEnd w:id="0"/>
          </w:p>
          <w:p w:rsidR="00850DD4" w:rsidRPr="00983E0F" w:rsidRDefault="00850DD4" w:rsidP="008326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45" w:rsidRDefault="00136445">
      <w:r>
        <w:separator/>
      </w:r>
    </w:p>
  </w:endnote>
  <w:endnote w:type="continuationSeparator" w:id="0">
    <w:p w:rsidR="00136445" w:rsidRDefault="0013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45" w:rsidRDefault="00136445">
      <w:r>
        <w:separator/>
      </w:r>
    </w:p>
  </w:footnote>
  <w:footnote w:type="continuationSeparator" w:id="0">
    <w:p w:rsidR="00136445" w:rsidRDefault="0013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682A"/>
    <w:rsid w:val="000309F5"/>
    <w:rsid w:val="00036945"/>
    <w:rsid w:val="000406F6"/>
    <w:rsid w:val="00055630"/>
    <w:rsid w:val="00055E0B"/>
    <w:rsid w:val="000655FE"/>
    <w:rsid w:val="000921EB"/>
    <w:rsid w:val="000D082D"/>
    <w:rsid w:val="00105747"/>
    <w:rsid w:val="0010749B"/>
    <w:rsid w:val="0011456E"/>
    <w:rsid w:val="00124BCC"/>
    <w:rsid w:val="00133DB7"/>
    <w:rsid w:val="00136445"/>
    <w:rsid w:val="001414AE"/>
    <w:rsid w:val="001516EF"/>
    <w:rsid w:val="001678E2"/>
    <w:rsid w:val="001712FD"/>
    <w:rsid w:val="00181A56"/>
    <w:rsid w:val="001B6A9E"/>
    <w:rsid w:val="001D4B51"/>
    <w:rsid w:val="001D5338"/>
    <w:rsid w:val="001E0BB9"/>
    <w:rsid w:val="001F52E8"/>
    <w:rsid w:val="0022172E"/>
    <w:rsid w:val="002258DD"/>
    <w:rsid w:val="00256763"/>
    <w:rsid w:val="002628BD"/>
    <w:rsid w:val="00262E34"/>
    <w:rsid w:val="0026581F"/>
    <w:rsid w:val="00287F45"/>
    <w:rsid w:val="002B59D1"/>
    <w:rsid w:val="00320B15"/>
    <w:rsid w:val="00322BFE"/>
    <w:rsid w:val="00337992"/>
    <w:rsid w:val="00350DB2"/>
    <w:rsid w:val="00391AAD"/>
    <w:rsid w:val="003B7809"/>
    <w:rsid w:val="003F20F3"/>
    <w:rsid w:val="00431947"/>
    <w:rsid w:val="004504DD"/>
    <w:rsid w:val="00496D87"/>
    <w:rsid w:val="004D4CF3"/>
    <w:rsid w:val="00505A26"/>
    <w:rsid w:val="00533755"/>
    <w:rsid w:val="0056731B"/>
    <w:rsid w:val="005766A6"/>
    <w:rsid w:val="005B320F"/>
    <w:rsid w:val="005B7CF8"/>
    <w:rsid w:val="005F1A00"/>
    <w:rsid w:val="00610D56"/>
    <w:rsid w:val="00610F43"/>
    <w:rsid w:val="00616167"/>
    <w:rsid w:val="0063737D"/>
    <w:rsid w:val="006403DF"/>
    <w:rsid w:val="00640912"/>
    <w:rsid w:val="006446A6"/>
    <w:rsid w:val="00650FBF"/>
    <w:rsid w:val="00651AC7"/>
    <w:rsid w:val="00653E85"/>
    <w:rsid w:val="00672724"/>
    <w:rsid w:val="0068016A"/>
    <w:rsid w:val="006853C1"/>
    <w:rsid w:val="006957B8"/>
    <w:rsid w:val="006C73A6"/>
    <w:rsid w:val="006D53AE"/>
    <w:rsid w:val="00710C55"/>
    <w:rsid w:val="00721DED"/>
    <w:rsid w:val="00775DEC"/>
    <w:rsid w:val="007924FE"/>
    <w:rsid w:val="007A124D"/>
    <w:rsid w:val="007A183C"/>
    <w:rsid w:val="007B2F7F"/>
    <w:rsid w:val="00802A29"/>
    <w:rsid w:val="00824C35"/>
    <w:rsid w:val="00830246"/>
    <w:rsid w:val="00832615"/>
    <w:rsid w:val="00850B43"/>
    <w:rsid w:val="00850DD4"/>
    <w:rsid w:val="008905E1"/>
    <w:rsid w:val="00935C5E"/>
    <w:rsid w:val="00946C95"/>
    <w:rsid w:val="00967263"/>
    <w:rsid w:val="009748D6"/>
    <w:rsid w:val="00982E4C"/>
    <w:rsid w:val="00983E0F"/>
    <w:rsid w:val="00984427"/>
    <w:rsid w:val="009A4991"/>
    <w:rsid w:val="009B39B0"/>
    <w:rsid w:val="009C0D20"/>
    <w:rsid w:val="009C2908"/>
    <w:rsid w:val="009C3C1D"/>
    <w:rsid w:val="00A03B35"/>
    <w:rsid w:val="00A1171F"/>
    <w:rsid w:val="00A2031B"/>
    <w:rsid w:val="00A54579"/>
    <w:rsid w:val="00A55745"/>
    <w:rsid w:val="00A56502"/>
    <w:rsid w:val="00B33A77"/>
    <w:rsid w:val="00B3766B"/>
    <w:rsid w:val="00B40EDB"/>
    <w:rsid w:val="00B60D50"/>
    <w:rsid w:val="00B770B9"/>
    <w:rsid w:val="00B7771A"/>
    <w:rsid w:val="00B80AA2"/>
    <w:rsid w:val="00BB1244"/>
    <w:rsid w:val="00BB4FB7"/>
    <w:rsid w:val="00BD0A6F"/>
    <w:rsid w:val="00BE7DDD"/>
    <w:rsid w:val="00C23761"/>
    <w:rsid w:val="00C437DF"/>
    <w:rsid w:val="00C503E4"/>
    <w:rsid w:val="00C518F9"/>
    <w:rsid w:val="00C61171"/>
    <w:rsid w:val="00C639F4"/>
    <w:rsid w:val="00C67F67"/>
    <w:rsid w:val="00C9207C"/>
    <w:rsid w:val="00C96F98"/>
    <w:rsid w:val="00CA1814"/>
    <w:rsid w:val="00CB255A"/>
    <w:rsid w:val="00CD7D11"/>
    <w:rsid w:val="00CF0140"/>
    <w:rsid w:val="00CF0591"/>
    <w:rsid w:val="00CF5244"/>
    <w:rsid w:val="00D112DE"/>
    <w:rsid w:val="00D720EF"/>
    <w:rsid w:val="00D74499"/>
    <w:rsid w:val="00DC6D9B"/>
    <w:rsid w:val="00DF17CC"/>
    <w:rsid w:val="00E15BB6"/>
    <w:rsid w:val="00E21B82"/>
    <w:rsid w:val="00E5540E"/>
    <w:rsid w:val="00E73040"/>
    <w:rsid w:val="00E736EC"/>
    <w:rsid w:val="00E74858"/>
    <w:rsid w:val="00E97511"/>
    <w:rsid w:val="00EA5477"/>
    <w:rsid w:val="00EA79FE"/>
    <w:rsid w:val="00ED7A2C"/>
    <w:rsid w:val="00EE6F12"/>
    <w:rsid w:val="00EF3BDF"/>
    <w:rsid w:val="00EF76FD"/>
    <w:rsid w:val="00F056EA"/>
    <w:rsid w:val="00F11794"/>
    <w:rsid w:val="00F12DD6"/>
    <w:rsid w:val="00F33734"/>
    <w:rsid w:val="00F53922"/>
    <w:rsid w:val="00F6015C"/>
    <w:rsid w:val="00F627E7"/>
    <w:rsid w:val="00FB3C4A"/>
    <w:rsid w:val="00FC1C39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USDA Forest Service</cp:lastModifiedBy>
  <cp:revision>7</cp:revision>
  <cp:lastPrinted>2004-03-23T21:00:00Z</cp:lastPrinted>
  <dcterms:created xsi:type="dcterms:W3CDTF">2017-07-06T07:01:00Z</dcterms:created>
  <dcterms:modified xsi:type="dcterms:W3CDTF">2017-07-10T10:37:00Z</dcterms:modified>
</cp:coreProperties>
</file>