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3510"/>
        <w:gridCol w:w="4367"/>
      </w:tblGrid>
      <w:tr w:rsidR="009579A0" w:rsidRPr="000309F5" w14:paraId="3FA1F272" w14:textId="77777777" w:rsidTr="00631194">
        <w:trPr>
          <w:trHeight w:val="980"/>
        </w:trPr>
        <w:tc>
          <w:tcPr>
            <w:tcW w:w="215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50CD815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Phinney Lake</w:t>
            </w:r>
          </w:p>
          <w:p w14:paraId="313667F3" w14:textId="12C6A8F1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100354</w:t>
            </w:r>
          </w:p>
        </w:tc>
        <w:tc>
          <w:tcPr>
            <w:tcW w:w="216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7DF27400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05080B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  <w:tc>
          <w:tcPr>
            <w:tcW w:w="351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1E05C28F" w:rsidR="009748D6" w:rsidRPr="00CB255A" w:rsidRDefault="00E964AA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4,469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20D0A3A3" w:rsidR="009748D6" w:rsidRPr="00A425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A42563" w:rsidRPr="00D03D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>3,430</w:t>
            </w:r>
            <w:r w:rsidR="00A42563" w:rsidRPr="005C0C0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579A0" w:rsidRPr="000309F5" w14:paraId="20AF0F6C" w14:textId="77777777" w:rsidTr="00631194">
        <w:trPr>
          <w:trHeight w:val="1059"/>
        </w:trPr>
        <w:tc>
          <w:tcPr>
            <w:tcW w:w="215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0BEE16F5" w:rsidR="009748D6" w:rsidRPr="00CB255A" w:rsidRDefault="00E964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0233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47F35CA4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964AA">
              <w:rPr>
                <w:rFonts w:ascii="Tahoma" w:hAnsi="Tahoma" w:cs="Tahoma"/>
                <w:sz w:val="20"/>
                <w:szCs w:val="20"/>
              </w:rPr>
              <w:t>7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16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24D5E9FA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79432BB9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351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31194">
        <w:trPr>
          <w:trHeight w:val="528"/>
        </w:trPr>
        <w:tc>
          <w:tcPr>
            <w:tcW w:w="215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86F2C04" w14:textId="461F3D4F" w:rsidR="00FD59B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Jared Peak SITL</w:t>
            </w:r>
          </w:p>
          <w:p w14:paraId="573670CC" w14:textId="77777777" w:rsidR="00631194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801-842-2496</w:t>
            </w:r>
          </w:p>
          <w:p w14:paraId="44E14729" w14:textId="685CAC89" w:rsidR="00631194" w:rsidRPr="00CB255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</w:t>
            </w:r>
            <w:r w:rsidR="00FF78C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d.peak@usda.gov</w:t>
            </w:r>
          </w:p>
        </w:tc>
        <w:tc>
          <w:tcPr>
            <w:tcW w:w="216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23718DAF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66B7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5D4E3C3F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</w:t>
            </w:r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(?)</w:t>
            </w: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</w:t>
            </w:r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Kuenzi</w:t>
            </w:r>
          </w:p>
        </w:tc>
      </w:tr>
      <w:tr w:rsidR="00196E80" w:rsidRPr="000309F5" w14:paraId="2331E6B0" w14:textId="77777777" w:rsidTr="00631194">
        <w:trPr>
          <w:trHeight w:val="630"/>
        </w:trPr>
        <w:tc>
          <w:tcPr>
            <w:tcW w:w="431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51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631194">
        <w:trPr>
          <w:trHeight w:val="614"/>
        </w:trPr>
        <w:tc>
          <w:tcPr>
            <w:tcW w:w="431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210CCFE6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964AA">
              <w:rPr>
                <w:rFonts w:ascii="Tahoma" w:hAnsi="Tahoma" w:cs="Tahoma"/>
                <w:sz w:val="20"/>
                <w:szCs w:val="20"/>
              </w:rPr>
              <w:t>7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E964AA">
              <w:rPr>
                <w:rFonts w:ascii="Tahoma" w:hAnsi="Tahoma" w:cs="Tahoma"/>
                <w:sz w:val="20"/>
                <w:szCs w:val="20"/>
              </w:rPr>
              <w:t>0315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87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598697BB" w:rsidR="009748D6" w:rsidRDefault="00F35391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C66B78" w:rsidRPr="00342804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https://ftp.nifc.gov/public/incident_specific_data/great_basin/2020_Incidents/2020_Phinney_Lake/IR/20200907/</w:t>
              </w:r>
            </w:hyperlink>
          </w:p>
          <w:p w14:paraId="11E8647B" w14:textId="2CBE02DF" w:rsidR="001801D8" w:rsidRPr="00851314" w:rsidRDefault="00851314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</w:t>
            </w:r>
            <w:hyperlink r:id="rId7" w:history="1">
              <w:r w:rsidR="00062232" w:rsidRPr="00AC657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mpanunto@blm.gov</w:t>
              </w:r>
            </w:hyperlink>
            <w:r w:rsidR="00062232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GISS Taylor Grysen </w:t>
            </w:r>
            <w:hyperlink r:id="rId8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 w:rsidR="009579A0" w:rsidRPr="000309F5" w14:paraId="5738E035" w14:textId="77777777" w:rsidTr="00631194">
        <w:trPr>
          <w:trHeight w:val="614"/>
        </w:trPr>
        <w:tc>
          <w:tcPr>
            <w:tcW w:w="431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26F7E606" w:rsidR="009748D6" w:rsidRPr="00CB255A" w:rsidRDefault="00062232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 w:rsidR="00E964AA">
              <w:rPr>
                <w:rFonts w:ascii="Tahoma" w:hAnsi="Tahoma" w:cs="Tahoma"/>
                <w:sz w:val="20"/>
                <w:szCs w:val="20"/>
              </w:rPr>
              <w:t>7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D03D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4AA">
              <w:rPr>
                <w:rFonts w:ascii="Tahoma" w:hAnsi="Tahoma" w:cs="Tahoma"/>
                <w:sz w:val="20"/>
                <w:szCs w:val="20"/>
              </w:rPr>
              <w:t>0515</w:t>
            </w:r>
            <w:r w:rsidR="00EC1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0E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87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40BE9D" w14:textId="60B9D72A" w:rsidR="00B00CFA" w:rsidRDefault="00FB15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aggressive 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>perimeter growth, running down Fall Creek and Rock Creek valleys, towards the East Fork Fire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>Very l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>arge area of intense heat behind advancing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 xml:space="preserve"> lobe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 xml:space="preserve">some other areas in 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>the central/interior perimete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>. Perimeter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 still 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>mostly filled with scattered heat</w:t>
            </w:r>
            <w:r w:rsidR="002F3314">
              <w:rPr>
                <w:rFonts w:ascii="Tahoma" w:hAnsi="Tahoma" w:cs="Tahoma"/>
                <w:bCs/>
                <w:sz w:val="20"/>
                <w:szCs w:val="20"/>
              </w:rPr>
              <w:t xml:space="preserve"> otherwise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 xml:space="preserve">, while a few isolated heat sources seen. </w:t>
            </w:r>
            <w:r w:rsidR="002F3314">
              <w:rPr>
                <w:rFonts w:ascii="Tahoma" w:hAnsi="Tahoma" w:cs="Tahoma"/>
                <w:bCs/>
                <w:sz w:val="20"/>
                <w:szCs w:val="20"/>
              </w:rPr>
              <w:t>Some isolated heat sources seen outside perimeter, perhaps blowing embers/new small starts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, similar to </w:t>
            </w:r>
            <w:r w:rsidR="00E964AA">
              <w:rPr>
                <w:rFonts w:ascii="Tahoma" w:hAnsi="Tahoma" w:cs="Tahoma"/>
                <w:bCs/>
                <w:sz w:val="20"/>
                <w:szCs w:val="20"/>
              </w:rPr>
              <w:t>previous nights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4804E8F" w14:textId="595297CB" w:rsidR="00E964AA" w:rsidRDefault="00E964A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962A66" w14:textId="1E759FB8" w:rsidR="00E964AA" w:rsidRDefault="00E964A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of East Fork Fire mapped, please see other incident for fire details, fires will most likely merge today, or next night.</w:t>
            </w:r>
            <w:bookmarkStart w:id="0" w:name="_GoBack"/>
            <w:bookmarkEnd w:id="0"/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04D9E0A3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38AE" w14:textId="77777777" w:rsidR="00F35391" w:rsidRDefault="00F35391">
      <w:r>
        <w:separator/>
      </w:r>
    </w:p>
  </w:endnote>
  <w:endnote w:type="continuationSeparator" w:id="0">
    <w:p w14:paraId="2D64C6CC" w14:textId="77777777" w:rsidR="00F35391" w:rsidRDefault="00F3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CAC3" w14:textId="77777777" w:rsidR="00F35391" w:rsidRDefault="00F35391">
      <w:r>
        <w:separator/>
      </w:r>
    </w:p>
  </w:footnote>
  <w:footnote w:type="continuationSeparator" w:id="0">
    <w:p w14:paraId="7AC82E20" w14:textId="77777777" w:rsidR="00F35391" w:rsidRDefault="00F3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3F93"/>
    <w:rsid w:val="0004032C"/>
    <w:rsid w:val="00044466"/>
    <w:rsid w:val="00046C9C"/>
    <w:rsid w:val="0005080B"/>
    <w:rsid w:val="000542D1"/>
    <w:rsid w:val="0006104B"/>
    <w:rsid w:val="00062232"/>
    <w:rsid w:val="000670C4"/>
    <w:rsid w:val="00072527"/>
    <w:rsid w:val="00077F33"/>
    <w:rsid w:val="000B4246"/>
    <w:rsid w:val="000D3E7F"/>
    <w:rsid w:val="000D4AD6"/>
    <w:rsid w:val="000D5ACC"/>
    <w:rsid w:val="000E4348"/>
    <w:rsid w:val="000E7FD5"/>
    <w:rsid w:val="00105747"/>
    <w:rsid w:val="00111820"/>
    <w:rsid w:val="001147C9"/>
    <w:rsid w:val="001159E2"/>
    <w:rsid w:val="00117341"/>
    <w:rsid w:val="00126433"/>
    <w:rsid w:val="00131759"/>
    <w:rsid w:val="00133DB7"/>
    <w:rsid w:val="0013456C"/>
    <w:rsid w:val="00152D54"/>
    <w:rsid w:val="001801D8"/>
    <w:rsid w:val="00181A56"/>
    <w:rsid w:val="00196E80"/>
    <w:rsid w:val="001A60F3"/>
    <w:rsid w:val="001B4986"/>
    <w:rsid w:val="001C5759"/>
    <w:rsid w:val="001D12B9"/>
    <w:rsid w:val="001D3289"/>
    <w:rsid w:val="001E4D61"/>
    <w:rsid w:val="001E641D"/>
    <w:rsid w:val="00217867"/>
    <w:rsid w:val="0022172E"/>
    <w:rsid w:val="0024696E"/>
    <w:rsid w:val="00262E34"/>
    <w:rsid w:val="00282564"/>
    <w:rsid w:val="002A20D4"/>
    <w:rsid w:val="002B1F18"/>
    <w:rsid w:val="002C007B"/>
    <w:rsid w:val="002C296A"/>
    <w:rsid w:val="002E3F76"/>
    <w:rsid w:val="002F204B"/>
    <w:rsid w:val="002F3314"/>
    <w:rsid w:val="00320B15"/>
    <w:rsid w:val="00345C5F"/>
    <w:rsid w:val="003529AD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15145"/>
    <w:rsid w:val="00447E5B"/>
    <w:rsid w:val="00467CEE"/>
    <w:rsid w:val="00476C9A"/>
    <w:rsid w:val="004B69D5"/>
    <w:rsid w:val="004B7077"/>
    <w:rsid w:val="004C33B2"/>
    <w:rsid w:val="004C436F"/>
    <w:rsid w:val="004F21DC"/>
    <w:rsid w:val="004F79F2"/>
    <w:rsid w:val="0050214A"/>
    <w:rsid w:val="00513995"/>
    <w:rsid w:val="00541DED"/>
    <w:rsid w:val="00542DFB"/>
    <w:rsid w:val="00543F95"/>
    <w:rsid w:val="005460E9"/>
    <w:rsid w:val="00547E7D"/>
    <w:rsid w:val="00556D82"/>
    <w:rsid w:val="00564AAC"/>
    <w:rsid w:val="005728D2"/>
    <w:rsid w:val="00587999"/>
    <w:rsid w:val="00593ABC"/>
    <w:rsid w:val="005A715C"/>
    <w:rsid w:val="005B320F"/>
    <w:rsid w:val="005B4F77"/>
    <w:rsid w:val="005C0C0D"/>
    <w:rsid w:val="005C22D4"/>
    <w:rsid w:val="005C6F46"/>
    <w:rsid w:val="005D18B1"/>
    <w:rsid w:val="005D610D"/>
    <w:rsid w:val="005E6EB7"/>
    <w:rsid w:val="00602406"/>
    <w:rsid w:val="0061068C"/>
    <w:rsid w:val="00631194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940FA"/>
    <w:rsid w:val="006B7944"/>
    <w:rsid w:val="006D53AE"/>
    <w:rsid w:val="006F167D"/>
    <w:rsid w:val="006F4B57"/>
    <w:rsid w:val="00700AC2"/>
    <w:rsid w:val="007039F6"/>
    <w:rsid w:val="00710453"/>
    <w:rsid w:val="00712364"/>
    <w:rsid w:val="00735E37"/>
    <w:rsid w:val="00747318"/>
    <w:rsid w:val="00747D86"/>
    <w:rsid w:val="007924FE"/>
    <w:rsid w:val="007A2F06"/>
    <w:rsid w:val="007B2F7F"/>
    <w:rsid w:val="007B34CA"/>
    <w:rsid w:val="007C13EB"/>
    <w:rsid w:val="007C2284"/>
    <w:rsid w:val="007D4CED"/>
    <w:rsid w:val="0083455A"/>
    <w:rsid w:val="00851314"/>
    <w:rsid w:val="00855733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8E0807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C72F5"/>
    <w:rsid w:val="009D31D3"/>
    <w:rsid w:val="009E185C"/>
    <w:rsid w:val="009F3876"/>
    <w:rsid w:val="009F52EC"/>
    <w:rsid w:val="009F6550"/>
    <w:rsid w:val="009F75DD"/>
    <w:rsid w:val="009F798A"/>
    <w:rsid w:val="00A2031B"/>
    <w:rsid w:val="00A265AD"/>
    <w:rsid w:val="00A40542"/>
    <w:rsid w:val="00A42563"/>
    <w:rsid w:val="00A56502"/>
    <w:rsid w:val="00A641C3"/>
    <w:rsid w:val="00A65A90"/>
    <w:rsid w:val="00A66677"/>
    <w:rsid w:val="00A733CE"/>
    <w:rsid w:val="00A826E5"/>
    <w:rsid w:val="00AB65D5"/>
    <w:rsid w:val="00AC0CE5"/>
    <w:rsid w:val="00AC5AD7"/>
    <w:rsid w:val="00AE1188"/>
    <w:rsid w:val="00AF20FF"/>
    <w:rsid w:val="00AF5E35"/>
    <w:rsid w:val="00B00B28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91827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66B78"/>
    <w:rsid w:val="00C94CB3"/>
    <w:rsid w:val="00CB255A"/>
    <w:rsid w:val="00CC0A6B"/>
    <w:rsid w:val="00CE302A"/>
    <w:rsid w:val="00D03D39"/>
    <w:rsid w:val="00D336CE"/>
    <w:rsid w:val="00D3498D"/>
    <w:rsid w:val="00D43BA3"/>
    <w:rsid w:val="00D52CD9"/>
    <w:rsid w:val="00D66EFF"/>
    <w:rsid w:val="00D9077F"/>
    <w:rsid w:val="00D92E7F"/>
    <w:rsid w:val="00D94B28"/>
    <w:rsid w:val="00DA0308"/>
    <w:rsid w:val="00DB70AF"/>
    <w:rsid w:val="00DC6D9B"/>
    <w:rsid w:val="00DD34BC"/>
    <w:rsid w:val="00E4190E"/>
    <w:rsid w:val="00E47FF7"/>
    <w:rsid w:val="00E65BD7"/>
    <w:rsid w:val="00E73D82"/>
    <w:rsid w:val="00E95989"/>
    <w:rsid w:val="00E964AA"/>
    <w:rsid w:val="00EA0A14"/>
    <w:rsid w:val="00EA2474"/>
    <w:rsid w:val="00EA5091"/>
    <w:rsid w:val="00EC1EE6"/>
    <w:rsid w:val="00EC248A"/>
    <w:rsid w:val="00ED5373"/>
    <w:rsid w:val="00EF6840"/>
    <w:rsid w:val="00EF76FD"/>
    <w:rsid w:val="00F00668"/>
    <w:rsid w:val="00F35391"/>
    <w:rsid w:val="00F36C18"/>
    <w:rsid w:val="00F42EE9"/>
    <w:rsid w:val="00F742CE"/>
    <w:rsid w:val="00FA27A0"/>
    <w:rsid w:val="00FB15F3"/>
    <w:rsid w:val="00FB3C4A"/>
    <w:rsid w:val="00FD0B87"/>
    <w:rsid w:val="00FD10F4"/>
    <w:rsid w:val="00FD1D50"/>
    <w:rsid w:val="00FD59BA"/>
    <w:rsid w:val="00FE5307"/>
    <w:rsid w:val="00FF50C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ysen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anunto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hinney_Lake/IR/2020090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Teats, Brian -FS</cp:lastModifiedBy>
  <cp:revision>20</cp:revision>
  <cp:lastPrinted>2015-03-05T17:28:00Z</cp:lastPrinted>
  <dcterms:created xsi:type="dcterms:W3CDTF">2020-09-01T02:11:00Z</dcterms:created>
  <dcterms:modified xsi:type="dcterms:W3CDTF">2020-09-07T11:09:00Z</dcterms:modified>
</cp:coreProperties>
</file>