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750"/>
        <w:gridCol w:w="2739"/>
        <w:gridCol w:w="3022"/>
      </w:tblGrid>
      <w:tr w:rsidR="009748D6" w:rsidRPr="000309F5" w14:paraId="7C882A25" w14:textId="77777777" w:rsidTr="00EF4A57">
        <w:trPr>
          <w:trHeight w:val="1059"/>
        </w:trPr>
        <w:tc>
          <w:tcPr>
            <w:tcW w:w="1246" w:type="pct"/>
          </w:tcPr>
          <w:p w14:paraId="1657F6BE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738E24CD" w:rsidR="009748D6" w:rsidRPr="00073BCD" w:rsidRDefault="00AE26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73BCD">
              <w:rPr>
                <w:rFonts w:ascii="Tahoma" w:hAnsi="Tahoma" w:cs="Tahoma"/>
                <w:sz w:val="20"/>
                <w:szCs w:val="20"/>
              </w:rPr>
              <w:t>Ross Fork</w:t>
            </w:r>
          </w:p>
          <w:p w14:paraId="47A1A09A" w14:textId="2C264B86" w:rsidR="00441660" w:rsidRPr="005A62CB" w:rsidRDefault="005F3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73BCD">
              <w:rPr>
                <w:rFonts w:ascii="Tahoma" w:hAnsi="Tahoma" w:cs="Tahoma"/>
                <w:sz w:val="20"/>
                <w:szCs w:val="20"/>
              </w:rPr>
              <w:t>ID-STF-00019</w:t>
            </w:r>
            <w:r w:rsidR="00AE266D" w:rsidRPr="00073BC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13" w:type="pct"/>
          </w:tcPr>
          <w:p w14:paraId="1E9B1C06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08341F" w14:textId="77777777" w:rsidR="00D07279" w:rsidRDefault="00B3435D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64F95BEA" w14:textId="195C60A0" w:rsidR="00B3435D" w:rsidRPr="005A62CB" w:rsidRDefault="00B3435D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B3435D">
              <w:rPr>
                <w:rFonts w:ascii="Tahoma" w:hAnsi="Tahoma" w:cs="Tahoma"/>
                <w:sz w:val="20"/>
                <w:szCs w:val="20"/>
              </w:rPr>
              <w:t>lise.bowne@usda.gov</w:t>
            </w:r>
          </w:p>
        </w:tc>
        <w:tc>
          <w:tcPr>
            <w:tcW w:w="1208" w:type="pct"/>
          </w:tcPr>
          <w:p w14:paraId="4D480F0D" w14:textId="77777777" w:rsidR="009748D6" w:rsidRPr="00652A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2A36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7646E7" w14:textId="018CC92F" w:rsidR="0006414B" w:rsidRPr="00AF7A6C" w:rsidRDefault="005F3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7A6C">
              <w:rPr>
                <w:rFonts w:ascii="Tahoma" w:hAnsi="Tahoma" w:cs="Tahoma"/>
                <w:sz w:val="20"/>
                <w:szCs w:val="20"/>
              </w:rPr>
              <w:t>SIIDC (208-732-7265)</w:t>
            </w:r>
          </w:p>
        </w:tc>
        <w:tc>
          <w:tcPr>
            <w:tcW w:w="1333" w:type="pct"/>
          </w:tcPr>
          <w:p w14:paraId="348AFC50" w14:textId="77777777" w:rsidR="009748D6" w:rsidRPr="00652A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2A3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366EE80B" w:rsidR="00E57D7F" w:rsidRPr="00EB683A" w:rsidRDefault="00E34621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>
              <w:rPr>
                <w:rFonts w:ascii="Tahoma" w:hAnsi="Tahoma" w:cs="Tahoma"/>
                <w:color w:val="4C4C4C"/>
                <w:sz w:val="18"/>
                <w:szCs w:val="18"/>
              </w:rPr>
              <w:t>845</w:t>
            </w:r>
            <w:r w:rsidR="00FD0331">
              <w:rPr>
                <w:rFonts w:ascii="Tahoma" w:hAnsi="Tahoma" w:cs="Tahoma"/>
                <w:color w:val="4C4C4C"/>
                <w:sz w:val="18"/>
                <w:szCs w:val="18"/>
              </w:rPr>
              <w:t xml:space="preserve"> </w:t>
            </w:r>
            <w:r w:rsidR="008E3A9C" w:rsidRPr="00EB683A">
              <w:rPr>
                <w:rFonts w:ascii="Tahoma" w:hAnsi="Tahoma" w:cs="Tahoma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EB683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4860E561" w:rsidR="009748D6" w:rsidRPr="00652A36" w:rsidRDefault="00E346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151</w:t>
            </w:r>
            <w:r w:rsidR="00172ED5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 w14:paraId="2BBEA588" w14:textId="77777777" w:rsidTr="00EF4A57">
        <w:trPr>
          <w:trHeight w:val="1059"/>
        </w:trPr>
        <w:tc>
          <w:tcPr>
            <w:tcW w:w="1246" w:type="pct"/>
          </w:tcPr>
          <w:p w14:paraId="0EC5D7EA" w14:textId="77777777" w:rsidR="00BD0A6F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4936B4E9" w:rsidR="009748D6" w:rsidRPr="00EB683A" w:rsidRDefault="00E346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2354</w:t>
            </w:r>
            <w:r w:rsidR="00B34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6394" w:rsidRPr="00EB683A">
              <w:rPr>
                <w:rFonts w:ascii="Tahoma" w:hAnsi="Tahoma" w:cs="Tahoma"/>
                <w:sz w:val="20"/>
                <w:szCs w:val="20"/>
              </w:rPr>
              <w:t>M</w:t>
            </w:r>
            <w:r w:rsidR="00441660" w:rsidRPr="00EB683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22BF7F73" w14:textId="77777777" w:rsidR="00BD0A6F" w:rsidRPr="00EB683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B683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3FCA534D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0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Pr="00EB683A">
              <w:rPr>
                <w:rFonts w:ascii="Tahoma" w:hAnsi="Tahoma" w:cs="Tahoma"/>
                <w:sz w:val="20"/>
                <w:szCs w:val="20"/>
              </w:rPr>
              <w:t>/</w:t>
            </w:r>
            <w:r w:rsidR="00AF7A6C">
              <w:rPr>
                <w:rFonts w:ascii="Tahoma" w:hAnsi="Tahoma" w:cs="Tahoma"/>
                <w:sz w:val="20"/>
                <w:szCs w:val="20"/>
              </w:rPr>
              <w:t>2</w:t>
            </w:r>
            <w:r w:rsidR="00E34621">
              <w:rPr>
                <w:rFonts w:ascii="Tahoma" w:hAnsi="Tahoma" w:cs="Tahoma"/>
                <w:sz w:val="20"/>
                <w:szCs w:val="20"/>
              </w:rPr>
              <w:t>5</w:t>
            </w:r>
            <w:r w:rsidRPr="00EB683A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13" w:type="pct"/>
          </w:tcPr>
          <w:p w14:paraId="07A4BC9B" w14:textId="77777777" w:rsidR="00EF4A57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5E44459" w14:textId="501A1BF8" w:rsidR="00EF4A57" w:rsidRPr="00CB255A" w:rsidRDefault="00B3435D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14:paraId="311EF375" w14:textId="77777777" w:rsidR="00EF4A57" w:rsidRPr="000309F5" w:rsidRDefault="00EF4A57" w:rsidP="00EF4A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753E61D7" w:rsidR="009748D6" w:rsidRPr="005A62CB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B3435D">
              <w:rPr>
                <w:rFonts w:ascii="Tahoma" w:hAnsi="Tahoma" w:cs="Tahoma"/>
                <w:sz w:val="20"/>
                <w:szCs w:val="20"/>
              </w:rPr>
              <w:t>303)-517-7510</w:t>
            </w:r>
          </w:p>
        </w:tc>
        <w:tc>
          <w:tcPr>
            <w:tcW w:w="1208" w:type="pct"/>
          </w:tcPr>
          <w:p w14:paraId="21084B80" w14:textId="77777777" w:rsidR="009748D6" w:rsidRPr="0006414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233CAEB" w14:textId="6AB41726" w:rsidR="00F91EF1" w:rsidRPr="0006414B" w:rsidRDefault="00EB683A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Nate Yorgason</w:t>
            </w:r>
          </w:p>
          <w:p w14:paraId="356AE45B" w14:textId="7CD35368" w:rsidR="009748D6" w:rsidRPr="00EB683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EB683A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01F01A8A" w:rsidR="009748D6" w:rsidRPr="005A62CB" w:rsidRDefault="00EB68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333" w:type="pct"/>
          </w:tcPr>
          <w:p w14:paraId="56E236F8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Pr="0006414B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T</w:t>
            </w:r>
            <w:r w:rsidR="00C55A05" w:rsidRPr="0006414B">
              <w:rPr>
                <w:rFonts w:ascii="Tahoma" w:hAnsi="Tahoma" w:cs="Tahoma"/>
                <w:sz w:val="20"/>
                <w:szCs w:val="20"/>
              </w:rPr>
              <w:t>om</w:t>
            </w:r>
            <w:r w:rsidRPr="0006414B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 w:rsidRPr="0006414B">
              <w:rPr>
                <w:rFonts w:ascii="Tahoma" w:hAnsi="Tahoma" w:cs="Tahoma"/>
                <w:sz w:val="20"/>
                <w:szCs w:val="20"/>
              </w:rPr>
              <w:t>e</w:t>
            </w:r>
            <w:r w:rsidRPr="0006414B">
              <w:rPr>
                <w:rFonts w:ascii="Tahoma" w:hAnsi="Tahoma" w:cs="Tahoma"/>
                <w:sz w:val="20"/>
                <w:szCs w:val="20"/>
              </w:rPr>
              <w:t>ll</w:t>
            </w:r>
            <w:r w:rsidR="00D6383F" w:rsidRPr="0006414B">
              <w:rPr>
                <w:rFonts w:ascii="Tahoma" w:hAnsi="Tahoma" w:cs="Tahoma"/>
                <w:sz w:val="20"/>
                <w:szCs w:val="20"/>
              </w:rPr>
              <w:t>i</w:t>
            </w:r>
            <w:r w:rsidRPr="0006414B"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6414B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06414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EF4A57">
        <w:trPr>
          <w:trHeight w:val="528"/>
        </w:trPr>
        <w:tc>
          <w:tcPr>
            <w:tcW w:w="1246" w:type="pct"/>
          </w:tcPr>
          <w:p w14:paraId="4BE10B20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6559FAF5" w:rsidR="00EB683A" w:rsidRPr="005A62CB" w:rsidRDefault="005F3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ID-STF</w:t>
            </w:r>
          </w:p>
        </w:tc>
        <w:tc>
          <w:tcPr>
            <w:tcW w:w="1213" w:type="pct"/>
          </w:tcPr>
          <w:p w14:paraId="7FB8F9A9" w14:textId="77777777" w:rsidR="009748D6" w:rsidRPr="0012639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126394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6C9B85B1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26394">
              <w:rPr>
                <w:rFonts w:ascii="Tahoma" w:hAnsi="Tahoma" w:cs="Tahoma"/>
                <w:sz w:val="20"/>
                <w:szCs w:val="20"/>
              </w:rPr>
              <w:t>A-</w:t>
            </w:r>
            <w:r w:rsidR="00744AF9">
              <w:rPr>
                <w:rFonts w:ascii="Tahoma" w:hAnsi="Tahoma" w:cs="Tahoma"/>
                <w:sz w:val="20"/>
                <w:szCs w:val="20"/>
              </w:rPr>
              <w:t>2</w:t>
            </w:r>
            <w:r w:rsidR="00352BA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08" w:type="pct"/>
          </w:tcPr>
          <w:p w14:paraId="49A2EE2F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58F31442" w:rsidR="009748D6" w:rsidRPr="005A62CB" w:rsidRDefault="00B343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0C064D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333" w:type="pct"/>
          </w:tcPr>
          <w:p w14:paraId="4F7E0EDA" w14:textId="77777777" w:rsidR="009748D6" w:rsidRDefault="00EB683A" w:rsidP="00A016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</w:t>
            </w:r>
            <w:r w:rsidR="00A016D5">
              <w:rPr>
                <w:rFonts w:ascii="Tahoma" w:hAnsi="Tahoma" w:cs="Tahoma"/>
                <w:b/>
                <w:sz w:val="20"/>
                <w:szCs w:val="20"/>
              </w:rPr>
              <w:t>/Techs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74F8F53" w14:textId="76597EA8" w:rsidR="00BF28B0" w:rsidRDefault="00C76299" w:rsidP="00A016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Watts/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Helquist</w:t>
            </w:r>
            <w:proofErr w:type="spellEnd"/>
          </w:p>
          <w:p w14:paraId="225EB9DC" w14:textId="099F26F1" w:rsidR="000C064D" w:rsidRPr="00BF28B0" w:rsidRDefault="00C76299" w:rsidP="00A016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Rhodes</w:t>
            </w:r>
          </w:p>
        </w:tc>
      </w:tr>
      <w:tr w:rsidR="009748D6" w:rsidRPr="000309F5" w14:paraId="374AC72A" w14:textId="77777777" w:rsidTr="00EF4A57">
        <w:trPr>
          <w:trHeight w:val="630"/>
        </w:trPr>
        <w:tc>
          <w:tcPr>
            <w:tcW w:w="2459" w:type="pct"/>
            <w:gridSpan w:val="2"/>
          </w:tcPr>
          <w:p w14:paraId="3839AA7D" w14:textId="77777777" w:rsidR="009748D6" w:rsidRPr="001263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27781514" w:rsidR="009748D6" w:rsidRPr="00126394" w:rsidRDefault="00EB68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quality imagery</w:t>
            </w:r>
          </w:p>
        </w:tc>
        <w:tc>
          <w:tcPr>
            <w:tcW w:w="1208" w:type="pct"/>
          </w:tcPr>
          <w:p w14:paraId="3300293A" w14:textId="77777777" w:rsidR="009748D6" w:rsidRPr="001263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2DA25A00" w:rsidR="009748D6" w:rsidRPr="00126394" w:rsidRDefault="00A016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  <w:r w:rsidR="00A80699" w:rsidRPr="00EB683A">
              <w:rPr>
                <w:rFonts w:ascii="Tahoma" w:hAnsi="Tahoma" w:cs="Tahoma"/>
                <w:sz w:val="20"/>
                <w:szCs w:val="20"/>
              </w:rPr>
              <w:t xml:space="preserve"> clouds.</w:t>
            </w:r>
          </w:p>
        </w:tc>
        <w:tc>
          <w:tcPr>
            <w:tcW w:w="1333" w:type="pct"/>
          </w:tcPr>
          <w:p w14:paraId="61661789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06414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5A62C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EF4A57">
        <w:trPr>
          <w:trHeight w:val="614"/>
        </w:trPr>
        <w:tc>
          <w:tcPr>
            <w:tcW w:w="2459" w:type="pct"/>
            <w:gridSpan w:val="2"/>
          </w:tcPr>
          <w:p w14:paraId="4AC763CF" w14:textId="77777777" w:rsidR="009748D6" w:rsidRPr="00336B4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36B4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7BA9EDDC" w:rsidR="009748D6" w:rsidRPr="00336B4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0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Pr="00EB683A">
              <w:rPr>
                <w:rFonts w:ascii="Tahoma" w:hAnsi="Tahoma" w:cs="Tahoma"/>
                <w:sz w:val="20"/>
                <w:szCs w:val="20"/>
              </w:rPr>
              <w:t>/</w:t>
            </w:r>
            <w:r w:rsidR="00073BCD">
              <w:rPr>
                <w:rFonts w:ascii="Tahoma" w:hAnsi="Tahoma" w:cs="Tahoma"/>
                <w:sz w:val="20"/>
                <w:szCs w:val="20"/>
              </w:rPr>
              <w:t>2</w:t>
            </w:r>
            <w:r w:rsidR="00E34621">
              <w:rPr>
                <w:rFonts w:ascii="Tahoma" w:hAnsi="Tahoma" w:cs="Tahoma"/>
                <w:sz w:val="20"/>
                <w:szCs w:val="20"/>
              </w:rPr>
              <w:t>6</w:t>
            </w:r>
            <w:r w:rsidRPr="00EB683A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E34621">
              <w:rPr>
                <w:rFonts w:ascii="Tahoma" w:hAnsi="Tahoma" w:cs="Tahoma"/>
                <w:sz w:val="20"/>
                <w:szCs w:val="20"/>
              </w:rPr>
              <w:t>0415</w:t>
            </w:r>
            <w:r w:rsidR="00A016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6B4D" w:rsidRPr="00EB683A">
              <w:rPr>
                <w:rFonts w:ascii="Tahoma" w:hAnsi="Tahoma" w:cs="Tahoma"/>
                <w:sz w:val="20"/>
                <w:szCs w:val="20"/>
              </w:rPr>
              <w:t>M</w:t>
            </w:r>
            <w:r w:rsidR="00BC5975" w:rsidRPr="00EB683A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41" w:type="pct"/>
            <w:gridSpan w:val="2"/>
            <w:vMerge w:val="restart"/>
          </w:tcPr>
          <w:p w14:paraId="44B92F6F" w14:textId="77777777" w:rsidR="00A2031B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3BDB8D72" w:rsidR="00BD0A6F" w:rsidRPr="0006414B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744AF9">
              <w:rPr>
                <w:rFonts w:ascii="Tahoma" w:hAnsi="Tahoma" w:cs="Tahoma"/>
                <w:sz w:val="20"/>
                <w:szCs w:val="20"/>
              </w:rPr>
              <w:t>Shapefiles</w:t>
            </w:r>
            <w:r w:rsidRPr="0006414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A74D3">
              <w:rPr>
                <w:rFonts w:ascii="Tahoma" w:hAnsi="Tahoma" w:cs="Tahoma"/>
                <w:sz w:val="20"/>
                <w:szCs w:val="20"/>
              </w:rPr>
              <w:t>geodatabase</w:t>
            </w:r>
            <w:r w:rsidR="00AC3F1A">
              <w:rPr>
                <w:rFonts w:ascii="Tahoma" w:hAnsi="Tahoma" w:cs="Tahoma"/>
                <w:sz w:val="20"/>
                <w:szCs w:val="20"/>
              </w:rPr>
              <w:t>,</w:t>
            </w:r>
            <w:r w:rsidR="001A7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6414B">
              <w:rPr>
                <w:rFonts w:ascii="Tahoma" w:hAnsi="Tahoma" w:cs="Tahoma"/>
                <w:sz w:val="20"/>
                <w:szCs w:val="20"/>
              </w:rPr>
              <w:t>KMZ, IR Log, Topo</w:t>
            </w:r>
            <w:r w:rsidR="00AC3F1A">
              <w:rPr>
                <w:rFonts w:ascii="Tahoma" w:hAnsi="Tahoma" w:cs="Tahoma"/>
                <w:sz w:val="20"/>
                <w:szCs w:val="20"/>
              </w:rPr>
              <w:t>/</w:t>
            </w:r>
            <w:r w:rsidRPr="0006414B">
              <w:rPr>
                <w:rFonts w:ascii="Tahoma" w:hAnsi="Tahoma" w:cs="Tahoma"/>
                <w:sz w:val="20"/>
                <w:szCs w:val="20"/>
              </w:rPr>
              <w:t>Ortho Maps</w:t>
            </w:r>
          </w:p>
          <w:p w14:paraId="13D6E999" w14:textId="77777777" w:rsidR="00A2031B" w:rsidRPr="0006414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6414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10749E6D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Pr="0006414B"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 w:rsidRPr="00064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E34621" w:rsidRPr="002A057E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https://ftp.wildfire.gov/public/incident_specific_data/great_basin/2022_Incidents/2022_RossFork/IR/20220826</w:t>
              </w:r>
            </w:hyperlink>
          </w:p>
        </w:tc>
      </w:tr>
      <w:tr w:rsidR="009748D6" w:rsidRPr="000309F5" w14:paraId="28CDDAF5" w14:textId="77777777" w:rsidTr="00EF4A57">
        <w:trPr>
          <w:trHeight w:val="614"/>
        </w:trPr>
        <w:tc>
          <w:tcPr>
            <w:tcW w:w="2459" w:type="pct"/>
            <w:gridSpan w:val="2"/>
          </w:tcPr>
          <w:p w14:paraId="7F594F10" w14:textId="77777777" w:rsidR="009748D6" w:rsidRPr="0006414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6414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5488D40F" w:rsidR="009748D6" w:rsidRPr="003E1352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1352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/</w:t>
            </w:r>
            <w:r w:rsidR="00073BCD">
              <w:rPr>
                <w:rFonts w:ascii="Tahoma" w:hAnsi="Tahoma" w:cs="Tahoma"/>
                <w:sz w:val="20"/>
                <w:szCs w:val="20"/>
              </w:rPr>
              <w:t>2</w:t>
            </w:r>
            <w:r w:rsidR="00E34621">
              <w:rPr>
                <w:rFonts w:ascii="Tahoma" w:hAnsi="Tahoma" w:cs="Tahoma"/>
                <w:sz w:val="20"/>
                <w:szCs w:val="20"/>
              </w:rPr>
              <w:t>6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/2022</w:t>
            </w:r>
            <w:r w:rsidR="004464A7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4621">
              <w:rPr>
                <w:rFonts w:ascii="Tahoma" w:hAnsi="Tahoma" w:cs="Tahoma"/>
                <w:sz w:val="20"/>
                <w:szCs w:val="20"/>
              </w:rPr>
              <w:t>0525</w:t>
            </w:r>
            <w:r w:rsidR="00AB51FA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1496" w:rsidRPr="003E1352">
              <w:rPr>
                <w:rFonts w:ascii="Tahoma" w:hAnsi="Tahoma" w:cs="Tahoma"/>
                <w:sz w:val="20"/>
                <w:szCs w:val="20"/>
              </w:rPr>
              <w:t>M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DT</w:t>
            </w:r>
            <w:r w:rsidR="00DE40AE" w:rsidRPr="003E1352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472199A5" w:rsidR="00C55A05" w:rsidRPr="005A62CB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E1352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E34621">
              <w:rPr>
                <w:rFonts w:ascii="Tahoma" w:hAnsi="Tahoma" w:cs="Tahoma"/>
                <w:sz w:val="20"/>
                <w:szCs w:val="20"/>
              </w:rPr>
              <w:t>0545</w:t>
            </w:r>
            <w:r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1496" w:rsidRPr="003E1352">
              <w:rPr>
                <w:rFonts w:ascii="Tahoma" w:hAnsi="Tahoma" w:cs="Tahoma"/>
                <w:sz w:val="20"/>
                <w:szCs w:val="20"/>
              </w:rPr>
              <w:t>M</w:t>
            </w:r>
            <w:r w:rsidRPr="003E135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41" w:type="pct"/>
            <w:gridSpan w:val="2"/>
            <w:vMerge/>
          </w:tcPr>
          <w:p w14:paraId="1812EAFE" w14:textId="77777777" w:rsidR="009748D6" w:rsidRPr="005A62C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E40736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3E1352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1352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21BFC31" w14:textId="74B0F362" w:rsidR="00646F14" w:rsidRDefault="00BC5975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E1352"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</w:t>
            </w:r>
            <w:r w:rsidR="00086A39" w:rsidRPr="003E1352">
              <w:rPr>
                <w:rFonts w:ascii="Tahoma" w:hAnsi="Tahoma" w:cs="Tahoma"/>
                <w:bCs/>
                <w:sz w:val="20"/>
                <w:szCs w:val="20"/>
              </w:rPr>
              <w:t>with</w:t>
            </w:r>
            <w:r w:rsidR="00FD033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40359"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 xml:space="preserve"> IR heat perimeter</w:t>
            </w:r>
            <w:r w:rsidR="00740359">
              <w:rPr>
                <w:rFonts w:ascii="Tahoma" w:hAnsi="Tahoma" w:cs="Tahoma"/>
                <w:bCs/>
                <w:sz w:val="20"/>
                <w:szCs w:val="20"/>
              </w:rPr>
              <w:t xml:space="preserve"> from </w:t>
            </w:r>
            <w:r w:rsidR="006156DE">
              <w:rPr>
                <w:rFonts w:ascii="Tahoma" w:hAnsi="Tahoma" w:cs="Tahoma"/>
                <w:bCs/>
                <w:sz w:val="20"/>
                <w:szCs w:val="20"/>
              </w:rPr>
              <w:t>previous IR flight</w:t>
            </w:r>
            <w:r w:rsidR="00E34621">
              <w:rPr>
                <w:rFonts w:ascii="Tahoma" w:hAnsi="Tahoma" w:cs="Tahoma"/>
                <w:bCs/>
                <w:sz w:val="20"/>
                <w:szCs w:val="20"/>
              </w:rPr>
              <w:t>.  There was a new perimeter in the event polygon, but it was very generalized.</w:t>
            </w:r>
          </w:p>
          <w:p w14:paraId="7D1E48EE" w14:textId="55611F8F" w:rsidR="00E34621" w:rsidRPr="003E1352" w:rsidRDefault="00E34621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An isolated heat source was located to the NE of the Ross Creek fire in the Beaver Creek drainage, south of the Pilgrim Mine on the topo map, about mid-slope on the NW-facing slope.  The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lat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/long is:  43 50.494’ x -114 53.288’.  As of flight time, there was no point in the National Incident Feature Service for this heat source.  It could possibly be a new start.</w:t>
            </w:r>
          </w:p>
          <w:p w14:paraId="48D5D299" w14:textId="51CDF24F" w:rsidR="00646F14" w:rsidRDefault="00646F14" w:rsidP="00646F14">
            <w:pPr>
              <w:spacing w:before="120" w:after="120"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NW part of the incident has cooled significantly, with </w:t>
            </w:r>
            <w:r w:rsidR="00E34621">
              <w:rPr>
                <w:rFonts w:ascii="Tahoma" w:hAnsi="Tahoma" w:cs="Tahoma"/>
                <w:bCs/>
                <w:sz w:val="20"/>
                <w:szCs w:val="20"/>
              </w:rPr>
              <w:t>no heat sources detected tonight.</w:t>
            </w:r>
          </w:p>
          <w:p w14:paraId="284770F5" w14:textId="3E44A4AB" w:rsidR="00462901" w:rsidRDefault="00C96EE8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Almost all of the heat perimeter growth mapped tonight was east of Gold Run Creek, with the heat expanding both south and north on the WNW-facing slope.  Lots of intense heat tonight</w:t>
            </w:r>
            <w:r w:rsidR="00E34621">
              <w:rPr>
                <w:rFonts w:ascii="Tahoma" w:hAnsi="Tahoma" w:cs="Tahoma"/>
                <w:bCs/>
                <w:sz w:val="20"/>
                <w:szCs w:val="20"/>
              </w:rPr>
              <w:t xml:space="preserve"> mapped tonight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The heat </w:t>
            </w:r>
            <w:r w:rsidR="00E34621">
              <w:rPr>
                <w:rFonts w:ascii="Tahoma" w:hAnsi="Tahoma" w:cs="Tahoma"/>
                <w:bCs/>
                <w:sz w:val="20"/>
                <w:szCs w:val="20"/>
              </w:rPr>
              <w:t>continues to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mov</w:t>
            </w:r>
            <w:r w:rsidR="00E34621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back down the south-facing slope into the main Ross Fork drainage.  Additionally, there has been a slight increase in heat backing down into the upper reaches of the Steep Creek drainage to the east.</w:t>
            </w:r>
            <w:r w:rsidR="00646F1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34621">
              <w:rPr>
                <w:rFonts w:ascii="Tahoma" w:hAnsi="Tahoma" w:cs="Tahoma"/>
                <w:bCs/>
                <w:sz w:val="20"/>
                <w:szCs w:val="20"/>
              </w:rPr>
              <w:t>On the NE, the heat has gone past the ridge and is moving downslope into a side drainage of Johnson Creek.  There was an isolated heat source out ahead of the main perimeter.</w:t>
            </w:r>
            <w:r w:rsidR="00646F1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CA4EDB4" w14:textId="5E400315" w:rsidR="00B6613F" w:rsidRDefault="00B6613F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C31DA9" w14:textId="1EE72247" w:rsidR="00B6613F" w:rsidRDefault="00B6613F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contact the interpreter listed above if there are any questions or concerns about this interpretation</w:t>
            </w:r>
          </w:p>
          <w:p w14:paraId="4A0A011F" w14:textId="77777777" w:rsidR="000C064D" w:rsidRDefault="000C064D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7A9FAE" w14:textId="3259DD04" w:rsidR="006559C5" w:rsidRPr="005A62CB" w:rsidRDefault="000C064D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="006A3FFE" w:rsidRPr="006A3FFE">
              <w:rPr>
                <w:rFonts w:ascii="Avenir Light" w:hAnsi="Avenir Light"/>
                <w:color w:val="333333"/>
                <w:sz w:val="18"/>
                <w:szCs w:val="18"/>
                <w:shd w:val="clear" w:color="auto" w:fill="FFFFFF"/>
              </w:rPr>
              <w:t>{7D82A608-618C-4892-A1D7-514E673379FA}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8271" w14:textId="77777777" w:rsidR="00CC30A3" w:rsidRDefault="00CC30A3">
      <w:r>
        <w:separator/>
      </w:r>
    </w:p>
  </w:endnote>
  <w:endnote w:type="continuationSeparator" w:id="0">
    <w:p w14:paraId="393F3916" w14:textId="77777777" w:rsidR="00CC30A3" w:rsidRDefault="00CC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9709" w14:textId="77777777" w:rsidR="00CC30A3" w:rsidRDefault="00CC30A3">
      <w:r>
        <w:separator/>
      </w:r>
    </w:p>
  </w:footnote>
  <w:footnote w:type="continuationSeparator" w:id="0">
    <w:p w14:paraId="4F4A56E3" w14:textId="77777777" w:rsidR="00CC30A3" w:rsidRDefault="00CC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875"/>
    <w:rsid w:val="00010FCF"/>
    <w:rsid w:val="00021519"/>
    <w:rsid w:val="00024142"/>
    <w:rsid w:val="000309F5"/>
    <w:rsid w:val="00031759"/>
    <w:rsid w:val="00037C39"/>
    <w:rsid w:val="00045602"/>
    <w:rsid w:val="00047169"/>
    <w:rsid w:val="00056AD4"/>
    <w:rsid w:val="0006414B"/>
    <w:rsid w:val="000730FC"/>
    <w:rsid w:val="00073BCD"/>
    <w:rsid w:val="0008105E"/>
    <w:rsid w:val="00086A39"/>
    <w:rsid w:val="00093CA5"/>
    <w:rsid w:val="000A2B39"/>
    <w:rsid w:val="000B0A0D"/>
    <w:rsid w:val="000C064D"/>
    <w:rsid w:val="000C1128"/>
    <w:rsid w:val="000E0160"/>
    <w:rsid w:val="000F21E8"/>
    <w:rsid w:val="000F48D4"/>
    <w:rsid w:val="00105747"/>
    <w:rsid w:val="00111C07"/>
    <w:rsid w:val="0011481C"/>
    <w:rsid w:val="00126394"/>
    <w:rsid w:val="00133DB7"/>
    <w:rsid w:val="00172ED5"/>
    <w:rsid w:val="0017400E"/>
    <w:rsid w:val="00181A56"/>
    <w:rsid w:val="001A74D3"/>
    <w:rsid w:val="001C47B3"/>
    <w:rsid w:val="001C65CB"/>
    <w:rsid w:val="001E6D66"/>
    <w:rsid w:val="00210D34"/>
    <w:rsid w:val="0022172E"/>
    <w:rsid w:val="0022474D"/>
    <w:rsid w:val="00243D7F"/>
    <w:rsid w:val="00256C25"/>
    <w:rsid w:val="00262E34"/>
    <w:rsid w:val="002848E9"/>
    <w:rsid w:val="00293B3E"/>
    <w:rsid w:val="002A08BB"/>
    <w:rsid w:val="002A28C5"/>
    <w:rsid w:val="002A6AE9"/>
    <w:rsid w:val="002B1C2F"/>
    <w:rsid w:val="002C07F4"/>
    <w:rsid w:val="002D2F5B"/>
    <w:rsid w:val="002F48A8"/>
    <w:rsid w:val="003008BD"/>
    <w:rsid w:val="00307A5B"/>
    <w:rsid w:val="0031303F"/>
    <w:rsid w:val="00314B92"/>
    <w:rsid w:val="00320B15"/>
    <w:rsid w:val="00320BC1"/>
    <w:rsid w:val="003224B5"/>
    <w:rsid w:val="00327D00"/>
    <w:rsid w:val="00336B4D"/>
    <w:rsid w:val="00345FBE"/>
    <w:rsid w:val="003460A6"/>
    <w:rsid w:val="003528B7"/>
    <w:rsid w:val="00352BA6"/>
    <w:rsid w:val="003541B7"/>
    <w:rsid w:val="0036067C"/>
    <w:rsid w:val="00367926"/>
    <w:rsid w:val="0037728F"/>
    <w:rsid w:val="003833F3"/>
    <w:rsid w:val="0039552B"/>
    <w:rsid w:val="003B66FA"/>
    <w:rsid w:val="003B77A3"/>
    <w:rsid w:val="003C15A1"/>
    <w:rsid w:val="003E1352"/>
    <w:rsid w:val="003F20F3"/>
    <w:rsid w:val="003F3275"/>
    <w:rsid w:val="003F4243"/>
    <w:rsid w:val="003F52A8"/>
    <w:rsid w:val="00434BE5"/>
    <w:rsid w:val="00441660"/>
    <w:rsid w:val="004464A7"/>
    <w:rsid w:val="0045657D"/>
    <w:rsid w:val="00462901"/>
    <w:rsid w:val="004672CD"/>
    <w:rsid w:val="00494C88"/>
    <w:rsid w:val="00497899"/>
    <w:rsid w:val="004A2FE0"/>
    <w:rsid w:val="004D2731"/>
    <w:rsid w:val="004E15D7"/>
    <w:rsid w:val="00531E0C"/>
    <w:rsid w:val="00566B61"/>
    <w:rsid w:val="005723D2"/>
    <w:rsid w:val="005759B1"/>
    <w:rsid w:val="00577E70"/>
    <w:rsid w:val="00580851"/>
    <w:rsid w:val="00581496"/>
    <w:rsid w:val="00585F4C"/>
    <w:rsid w:val="00592745"/>
    <w:rsid w:val="00594CEB"/>
    <w:rsid w:val="005A5DC9"/>
    <w:rsid w:val="005A62CB"/>
    <w:rsid w:val="005A7529"/>
    <w:rsid w:val="005B320F"/>
    <w:rsid w:val="005B605F"/>
    <w:rsid w:val="005B7EAB"/>
    <w:rsid w:val="005C21C2"/>
    <w:rsid w:val="005C253D"/>
    <w:rsid w:val="005F3F86"/>
    <w:rsid w:val="00607923"/>
    <w:rsid w:val="006156DE"/>
    <w:rsid w:val="006211FE"/>
    <w:rsid w:val="0063737D"/>
    <w:rsid w:val="006446A6"/>
    <w:rsid w:val="00646F14"/>
    <w:rsid w:val="00650FBF"/>
    <w:rsid w:val="00652A36"/>
    <w:rsid w:val="006559C5"/>
    <w:rsid w:val="0067392F"/>
    <w:rsid w:val="00693805"/>
    <w:rsid w:val="006A3FFE"/>
    <w:rsid w:val="006B6515"/>
    <w:rsid w:val="006C15EE"/>
    <w:rsid w:val="006D53AE"/>
    <w:rsid w:val="006E3AE4"/>
    <w:rsid w:val="00701467"/>
    <w:rsid w:val="00710E5A"/>
    <w:rsid w:val="00713293"/>
    <w:rsid w:val="00740359"/>
    <w:rsid w:val="0074183B"/>
    <w:rsid w:val="00744AF9"/>
    <w:rsid w:val="00745BF4"/>
    <w:rsid w:val="00754AF7"/>
    <w:rsid w:val="00757AA8"/>
    <w:rsid w:val="00764A24"/>
    <w:rsid w:val="00780BAA"/>
    <w:rsid w:val="007924FE"/>
    <w:rsid w:val="007A7D25"/>
    <w:rsid w:val="007B2F7F"/>
    <w:rsid w:val="007C4E99"/>
    <w:rsid w:val="007C7977"/>
    <w:rsid w:val="007D2A8D"/>
    <w:rsid w:val="007E3150"/>
    <w:rsid w:val="007F2572"/>
    <w:rsid w:val="007F2DD5"/>
    <w:rsid w:val="00803BE9"/>
    <w:rsid w:val="00813082"/>
    <w:rsid w:val="00837C8B"/>
    <w:rsid w:val="008905E1"/>
    <w:rsid w:val="008B73E3"/>
    <w:rsid w:val="008C08AA"/>
    <w:rsid w:val="008C7B08"/>
    <w:rsid w:val="008D5EBA"/>
    <w:rsid w:val="008E3A9C"/>
    <w:rsid w:val="008E7502"/>
    <w:rsid w:val="008F29A8"/>
    <w:rsid w:val="008F6917"/>
    <w:rsid w:val="009004FA"/>
    <w:rsid w:val="00916843"/>
    <w:rsid w:val="00935C5E"/>
    <w:rsid w:val="00957661"/>
    <w:rsid w:val="009743DA"/>
    <w:rsid w:val="009748D6"/>
    <w:rsid w:val="009845B6"/>
    <w:rsid w:val="009A6B3D"/>
    <w:rsid w:val="009B297C"/>
    <w:rsid w:val="009C2908"/>
    <w:rsid w:val="009D6A28"/>
    <w:rsid w:val="009E4993"/>
    <w:rsid w:val="009F3025"/>
    <w:rsid w:val="00A016D5"/>
    <w:rsid w:val="00A04D50"/>
    <w:rsid w:val="00A14BD7"/>
    <w:rsid w:val="00A2031B"/>
    <w:rsid w:val="00A25445"/>
    <w:rsid w:val="00A32AC3"/>
    <w:rsid w:val="00A467BD"/>
    <w:rsid w:val="00A56502"/>
    <w:rsid w:val="00A62447"/>
    <w:rsid w:val="00A80699"/>
    <w:rsid w:val="00A854F9"/>
    <w:rsid w:val="00A86BC2"/>
    <w:rsid w:val="00AB51FA"/>
    <w:rsid w:val="00AC3CC3"/>
    <w:rsid w:val="00AC3F1A"/>
    <w:rsid w:val="00AE266D"/>
    <w:rsid w:val="00AE3969"/>
    <w:rsid w:val="00AF7A6C"/>
    <w:rsid w:val="00B15002"/>
    <w:rsid w:val="00B15C1B"/>
    <w:rsid w:val="00B27EAB"/>
    <w:rsid w:val="00B315A9"/>
    <w:rsid w:val="00B3435D"/>
    <w:rsid w:val="00B358AC"/>
    <w:rsid w:val="00B4758F"/>
    <w:rsid w:val="00B50F29"/>
    <w:rsid w:val="00B52C86"/>
    <w:rsid w:val="00B6613F"/>
    <w:rsid w:val="00B770B9"/>
    <w:rsid w:val="00B92C66"/>
    <w:rsid w:val="00B9362D"/>
    <w:rsid w:val="00B95146"/>
    <w:rsid w:val="00BA069D"/>
    <w:rsid w:val="00BB7C5F"/>
    <w:rsid w:val="00BC5975"/>
    <w:rsid w:val="00BD0A6F"/>
    <w:rsid w:val="00BD77A6"/>
    <w:rsid w:val="00BE51F7"/>
    <w:rsid w:val="00BF28B0"/>
    <w:rsid w:val="00C04346"/>
    <w:rsid w:val="00C2122B"/>
    <w:rsid w:val="00C25311"/>
    <w:rsid w:val="00C46331"/>
    <w:rsid w:val="00C503E4"/>
    <w:rsid w:val="00C55A05"/>
    <w:rsid w:val="00C61171"/>
    <w:rsid w:val="00C63D3C"/>
    <w:rsid w:val="00C74D4A"/>
    <w:rsid w:val="00C76299"/>
    <w:rsid w:val="00C8232B"/>
    <w:rsid w:val="00C96EE8"/>
    <w:rsid w:val="00CA6A61"/>
    <w:rsid w:val="00CB255A"/>
    <w:rsid w:val="00CB26F7"/>
    <w:rsid w:val="00CB5EB5"/>
    <w:rsid w:val="00CC30A3"/>
    <w:rsid w:val="00CE4200"/>
    <w:rsid w:val="00CE5FCC"/>
    <w:rsid w:val="00CF7867"/>
    <w:rsid w:val="00D07279"/>
    <w:rsid w:val="00D07A91"/>
    <w:rsid w:val="00D13047"/>
    <w:rsid w:val="00D17591"/>
    <w:rsid w:val="00D31700"/>
    <w:rsid w:val="00D476C1"/>
    <w:rsid w:val="00D6185D"/>
    <w:rsid w:val="00D6383F"/>
    <w:rsid w:val="00D71817"/>
    <w:rsid w:val="00D73656"/>
    <w:rsid w:val="00D777FC"/>
    <w:rsid w:val="00D82426"/>
    <w:rsid w:val="00D84584"/>
    <w:rsid w:val="00D93394"/>
    <w:rsid w:val="00D95111"/>
    <w:rsid w:val="00DA05CE"/>
    <w:rsid w:val="00DC0C1F"/>
    <w:rsid w:val="00DC6D9B"/>
    <w:rsid w:val="00DD0B81"/>
    <w:rsid w:val="00DD69A7"/>
    <w:rsid w:val="00DE40AE"/>
    <w:rsid w:val="00DF7CF1"/>
    <w:rsid w:val="00E03E7F"/>
    <w:rsid w:val="00E061D6"/>
    <w:rsid w:val="00E101C9"/>
    <w:rsid w:val="00E12722"/>
    <w:rsid w:val="00E13515"/>
    <w:rsid w:val="00E166F9"/>
    <w:rsid w:val="00E23667"/>
    <w:rsid w:val="00E34621"/>
    <w:rsid w:val="00E3671C"/>
    <w:rsid w:val="00E40736"/>
    <w:rsid w:val="00E57D7F"/>
    <w:rsid w:val="00E63395"/>
    <w:rsid w:val="00E64D5C"/>
    <w:rsid w:val="00E723A7"/>
    <w:rsid w:val="00E85CF3"/>
    <w:rsid w:val="00EB1D5F"/>
    <w:rsid w:val="00EB2A84"/>
    <w:rsid w:val="00EB683A"/>
    <w:rsid w:val="00EC30A7"/>
    <w:rsid w:val="00EE0543"/>
    <w:rsid w:val="00EF39AA"/>
    <w:rsid w:val="00EF4A57"/>
    <w:rsid w:val="00EF76FD"/>
    <w:rsid w:val="00F1022D"/>
    <w:rsid w:val="00F103AE"/>
    <w:rsid w:val="00F205C3"/>
    <w:rsid w:val="00F54679"/>
    <w:rsid w:val="00F64AA0"/>
    <w:rsid w:val="00F73E36"/>
    <w:rsid w:val="00F84229"/>
    <w:rsid w:val="00F91EF1"/>
    <w:rsid w:val="00FA12CE"/>
    <w:rsid w:val="00FA651F"/>
    <w:rsid w:val="00FB3C4A"/>
    <w:rsid w:val="00FC4AB5"/>
    <w:rsid w:val="00FD0331"/>
    <w:rsid w:val="00FD456C"/>
    <w:rsid w:val="00FD7377"/>
    <w:rsid w:val="00FD7841"/>
    <w:rsid w:val="00FF345B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great_basin/2022_Incidents/2022_RossFork/IR/202208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-FS</cp:lastModifiedBy>
  <cp:revision>25</cp:revision>
  <cp:lastPrinted>2004-03-23T21:00:00Z</cp:lastPrinted>
  <dcterms:created xsi:type="dcterms:W3CDTF">2022-08-19T13:39:00Z</dcterms:created>
  <dcterms:modified xsi:type="dcterms:W3CDTF">2022-08-26T11:47:00Z</dcterms:modified>
</cp:coreProperties>
</file>