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1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38"/>
        <w:gridCol w:w="1350"/>
        <w:gridCol w:w="4029"/>
        <w:gridCol w:w="3892"/>
      </w:tblGrid>
      <w:tr w:rsidR="009579A0" w:rsidRPr="000309F5" w:rsidTr="005460E9">
        <w:trPr>
          <w:trHeight w:val="1059"/>
        </w:trPr>
        <w:tc>
          <w:tcPr>
            <w:tcW w:w="2514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Pine Gulch</w:t>
            </w:r>
          </w:p>
          <w:p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CO-GRD-000307</w:t>
            </w:r>
          </w:p>
        </w:tc>
        <w:tc>
          <w:tcPr>
            <w:tcW w:w="1554" w:type="dxa"/>
          </w:tcPr>
          <w:p w:rsidR="009748D6" w:rsidRPr="000309F5" w:rsidRDefault="009748D6" w:rsidP="005460E9">
            <w:pPr>
              <w:spacing w:line="360" w:lineRule="auto"/>
              <w:ind w:right="-233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</w:t>
            </w:r>
            <w:r w:rsidR="005460E9">
              <w:rPr>
                <w:rFonts w:ascii="Tahoma" w:hAnsi="Tahoma" w:cs="Tahoma"/>
                <w:b/>
                <w:sz w:val="20"/>
                <w:szCs w:val="20"/>
              </w:rPr>
              <w:t>er</w:t>
            </w:r>
          </w:p>
          <w:p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354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Grand Junction Interagency</w:t>
            </w:r>
          </w:p>
          <w:p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970-257-4800</w:t>
            </w:r>
          </w:p>
        </w:tc>
        <w:tc>
          <w:tcPr>
            <w:tcW w:w="3707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C33B2" w:rsidP="003F11BB">
            <w:pPr>
              <w:tabs>
                <w:tab w:val="left" w:pos="9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87,20</w:t>
            </w:r>
            <w:r w:rsidR="00F00668">
              <w:rPr>
                <w:rFonts w:ascii="Tahoma" w:hAnsi="Tahoma" w:cs="Tahoma"/>
                <w:sz w:val="20"/>
                <w:szCs w:val="20"/>
              </w:rPr>
              <w:t>9</w:t>
            </w:r>
            <w:r w:rsidR="003F11BB"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C33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F00668">
              <w:rPr>
                <w:rFonts w:ascii="Tahoma" w:hAnsi="Tahoma" w:cs="Tahoma"/>
                <w:sz w:val="20"/>
                <w:szCs w:val="20"/>
              </w:rPr>
              <w:t>32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579A0" w:rsidRPr="000309F5" w:rsidTr="005460E9">
        <w:trPr>
          <w:trHeight w:val="1059"/>
        </w:trPr>
        <w:tc>
          <w:tcPr>
            <w:tcW w:w="2514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2320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8/17/2020</w:t>
            </w:r>
          </w:p>
        </w:tc>
        <w:tc>
          <w:tcPr>
            <w:tcW w:w="1554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location:</w:t>
            </w:r>
          </w:p>
          <w:p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Phone:</w:t>
            </w:r>
          </w:p>
          <w:p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3546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3707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579A0" w:rsidRPr="000309F5" w:rsidTr="005460E9">
        <w:trPr>
          <w:trHeight w:val="528"/>
        </w:trPr>
        <w:tc>
          <w:tcPr>
            <w:tcW w:w="2514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IMT-1 SITL 970-227-7708</w:t>
            </w:r>
          </w:p>
          <w:p w:rsidR="004C436F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Daigle 413-427-2556</w:t>
            </w:r>
          </w:p>
          <w:p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Matthew_daigle@firenet.gov</w:t>
            </w:r>
          </w:p>
        </w:tc>
        <w:tc>
          <w:tcPr>
            <w:tcW w:w="1554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A-134</w:t>
            </w:r>
          </w:p>
        </w:tc>
        <w:tc>
          <w:tcPr>
            <w:tcW w:w="354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 / Phoenix</w:t>
            </w:r>
          </w:p>
        </w:tc>
        <w:tc>
          <w:tcPr>
            <w:tcW w:w="3707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4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Boyce / Helquist </w:t>
            </w:r>
            <w:r>
              <w:rPr>
                <w:rStyle w:val="view"/>
                <w:bdr w:val="none" w:sz="0" w:space="0" w:color="auto" w:frame="1"/>
              </w:rPr>
              <w:t>/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Gammons</w:t>
            </w:r>
          </w:p>
        </w:tc>
      </w:tr>
      <w:tr w:rsidR="00196E80" w:rsidRPr="000309F5" w:rsidTr="005460E9">
        <w:trPr>
          <w:trHeight w:val="630"/>
        </w:trPr>
        <w:tc>
          <w:tcPr>
            <w:tcW w:w="406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4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registration</w:t>
            </w:r>
          </w:p>
        </w:tc>
        <w:tc>
          <w:tcPr>
            <w:tcW w:w="354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4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07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:rsidTr="005460E9">
        <w:trPr>
          <w:trHeight w:val="614"/>
        </w:trPr>
        <w:tc>
          <w:tcPr>
            <w:tcW w:w="406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8/18/2020 0200 MDT</w:t>
            </w:r>
          </w:p>
        </w:tc>
        <w:tc>
          <w:tcPr>
            <w:tcW w:w="7253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DB70AF" w:rsidRDefault="0089378B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6" w:history="1">
              <w:r w:rsidR="001D3289" w:rsidRPr="001D3289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https://ftp.nifc.gov/public/incident_specific_data/rocky_mtn/2020/PineGulch/IR/20200818/</w:t>
              </w:r>
            </w:hyperlink>
          </w:p>
        </w:tc>
      </w:tr>
      <w:tr w:rsidR="009579A0" w:rsidRPr="000309F5" w:rsidTr="005460E9">
        <w:trPr>
          <w:trHeight w:val="614"/>
        </w:trPr>
        <w:tc>
          <w:tcPr>
            <w:tcW w:w="406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B57AD" w:rsidP="005460E9">
            <w:pPr>
              <w:tabs>
                <w:tab w:val="left" w:pos="3547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8/8/2020</w:t>
            </w:r>
            <w:r w:rsidR="005460E9">
              <w:rPr>
                <w:rFonts w:ascii="Tahoma" w:hAnsi="Tahoma" w:cs="Tahoma"/>
                <w:sz w:val="20"/>
                <w:szCs w:val="20"/>
              </w:rPr>
              <w:t xml:space="preserve"> 0520 MDT</w:t>
            </w:r>
            <w:bookmarkStart w:id="0" w:name="_GoBack"/>
            <w:bookmarkEnd w:id="0"/>
          </w:p>
        </w:tc>
        <w:tc>
          <w:tcPr>
            <w:tcW w:w="7253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60E9">
        <w:trPr>
          <w:trHeight w:val="5275"/>
        </w:trPr>
        <w:tc>
          <w:tcPr>
            <w:tcW w:w="11331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BB57A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data was delayed getting from the plane to the FTP site</w:t>
            </w:r>
            <w:r w:rsidR="0050214A">
              <w:rPr>
                <w:rFonts w:ascii="Tahoma" w:hAnsi="Tahoma" w:cs="Tahoma"/>
                <w:bCs/>
                <w:sz w:val="20"/>
                <w:szCs w:val="20"/>
              </w:rPr>
              <w:t>. 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 order to provide timely products and have time to interpret other assigned fires Scattered Heat was generalized. </w:t>
            </w:r>
            <w:r w:rsidR="0050214A">
              <w:rPr>
                <w:rFonts w:ascii="Tahoma" w:hAnsi="Tahoma" w:cs="Tahoma"/>
                <w:bCs/>
                <w:sz w:val="20"/>
                <w:szCs w:val="20"/>
              </w:rPr>
              <w:t xml:space="preserve">Only Isolated Heat along the perimeter were mapped.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No isolated heats were mapped in the interior.</w:t>
            </w:r>
          </w:p>
          <w:p w:rsidR="005460E9" w:rsidRDefault="0054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460E9" w:rsidRPr="00BB57AD" w:rsidRDefault="0054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Fire most active southwest flank and the large spot to the northwest of the main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78B" w:rsidRDefault="0089378B">
      <w:r>
        <w:separator/>
      </w:r>
    </w:p>
  </w:endnote>
  <w:endnote w:type="continuationSeparator" w:id="0">
    <w:p w:rsidR="0089378B" w:rsidRDefault="0089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78B" w:rsidRDefault="0089378B">
      <w:r>
        <w:separator/>
      </w:r>
    </w:p>
  </w:footnote>
  <w:footnote w:type="continuationSeparator" w:id="0">
    <w:p w:rsidR="0089378B" w:rsidRDefault="0089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105747"/>
    <w:rsid w:val="00133DB7"/>
    <w:rsid w:val="00181A56"/>
    <w:rsid w:val="00196E80"/>
    <w:rsid w:val="001D3289"/>
    <w:rsid w:val="0022172E"/>
    <w:rsid w:val="00262E34"/>
    <w:rsid w:val="002C007B"/>
    <w:rsid w:val="00320B15"/>
    <w:rsid w:val="003F11BB"/>
    <w:rsid w:val="003F20F3"/>
    <w:rsid w:val="004C33B2"/>
    <w:rsid w:val="004C436F"/>
    <w:rsid w:val="0050214A"/>
    <w:rsid w:val="005460E9"/>
    <w:rsid w:val="005B320F"/>
    <w:rsid w:val="0063737D"/>
    <w:rsid w:val="006446A6"/>
    <w:rsid w:val="00650FBF"/>
    <w:rsid w:val="006D53AE"/>
    <w:rsid w:val="007924FE"/>
    <w:rsid w:val="007B2F7F"/>
    <w:rsid w:val="00880450"/>
    <w:rsid w:val="008905E1"/>
    <w:rsid w:val="0089378B"/>
    <w:rsid w:val="00935C5E"/>
    <w:rsid w:val="009579A0"/>
    <w:rsid w:val="009748D6"/>
    <w:rsid w:val="009C2908"/>
    <w:rsid w:val="00A2031B"/>
    <w:rsid w:val="00A56502"/>
    <w:rsid w:val="00B770B9"/>
    <w:rsid w:val="00BB57AD"/>
    <w:rsid w:val="00BD0A6F"/>
    <w:rsid w:val="00C503E4"/>
    <w:rsid w:val="00C61171"/>
    <w:rsid w:val="00CB255A"/>
    <w:rsid w:val="00D336CE"/>
    <w:rsid w:val="00DB70AF"/>
    <w:rsid w:val="00DC6D9B"/>
    <w:rsid w:val="00EF76FD"/>
    <w:rsid w:val="00F0066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8EFAE6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54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rocky_mtn/2020/PineGulch/IR/2020081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86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9</cp:revision>
  <cp:lastPrinted>2015-03-05T17:28:00Z</cp:lastPrinted>
  <dcterms:created xsi:type="dcterms:W3CDTF">2015-03-05T17:31:00Z</dcterms:created>
  <dcterms:modified xsi:type="dcterms:W3CDTF">2020-08-18T11:08:00Z</dcterms:modified>
</cp:coreProperties>
</file>