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8" w:rsidRPr="00672538" w:rsidRDefault="00672538" w:rsidP="00672538">
      <w:pPr>
        <w:spacing w:after="0"/>
        <w:jc w:val="center"/>
        <w:rPr>
          <w:b/>
          <w:sz w:val="52"/>
          <w:szCs w:val="52"/>
        </w:rPr>
      </w:pPr>
      <w:r w:rsidRPr="00672538">
        <w:rPr>
          <w:b/>
          <w:sz w:val="52"/>
          <w:szCs w:val="52"/>
        </w:rPr>
        <w:t>NWCG Group Types</w:t>
      </w:r>
    </w:p>
    <w:p w:rsidR="0014045C" w:rsidRPr="00932A94" w:rsidRDefault="007071D2" w:rsidP="00765D9F">
      <w:pPr>
        <w:pStyle w:val="Heading1"/>
        <w:spacing w:before="0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Committee:</w:t>
      </w:r>
    </w:p>
    <w:p w:rsidR="005F109A" w:rsidRPr="003203FD" w:rsidRDefault="00B761F9" w:rsidP="00765D9F">
      <w:pPr>
        <w:spacing w:after="0"/>
        <w:rPr>
          <w:b/>
        </w:rPr>
      </w:pPr>
      <w:r w:rsidRPr="003203FD">
        <w:rPr>
          <w:b/>
        </w:rPr>
        <w:t xml:space="preserve">A long-standing body chartered by the NWCG Executive Board </w:t>
      </w:r>
      <w:r w:rsidR="00765D9F" w:rsidRPr="003203FD">
        <w:rPr>
          <w:b/>
        </w:rPr>
        <w:t xml:space="preserve">whose primary purpose is </w:t>
      </w:r>
      <w:r w:rsidRPr="003203FD">
        <w:rPr>
          <w:b/>
        </w:rPr>
        <w:t xml:space="preserve">to serve as </w:t>
      </w:r>
      <w:r w:rsidR="006921F8" w:rsidRPr="003203FD">
        <w:rPr>
          <w:b/>
        </w:rPr>
        <w:t xml:space="preserve">the </w:t>
      </w:r>
      <w:r w:rsidRPr="003203FD">
        <w:rPr>
          <w:b/>
        </w:rPr>
        <w:t xml:space="preserve">stewards of </w:t>
      </w:r>
      <w:r w:rsidR="006921F8" w:rsidRPr="003203FD">
        <w:rPr>
          <w:b/>
        </w:rPr>
        <w:t xml:space="preserve">the business, data, applications and technology relating to </w:t>
      </w:r>
      <w:r w:rsidRPr="003203FD">
        <w:rPr>
          <w:b/>
        </w:rPr>
        <w:t>an exclu</w:t>
      </w:r>
      <w:r w:rsidR="006921F8" w:rsidRPr="003203FD">
        <w:rPr>
          <w:b/>
        </w:rPr>
        <w:t>sive set of one or more of NWCG’s</w:t>
      </w:r>
      <w:r w:rsidR="00652EFC" w:rsidRPr="003203FD">
        <w:rPr>
          <w:b/>
        </w:rPr>
        <w:t xml:space="preserve"> </w:t>
      </w:r>
      <w:r w:rsidR="00672538">
        <w:rPr>
          <w:b/>
        </w:rPr>
        <w:t xml:space="preserve">functional </w:t>
      </w:r>
      <w:r w:rsidRPr="003203FD">
        <w:rPr>
          <w:b/>
        </w:rPr>
        <w:t>bu</w:t>
      </w:r>
      <w:r w:rsidR="00672538">
        <w:rPr>
          <w:b/>
        </w:rPr>
        <w:t>siness areas</w:t>
      </w:r>
    </w:p>
    <w:p w:rsidR="00856FC8" w:rsidRDefault="00856FC8" w:rsidP="00765D9F">
      <w:pPr>
        <w:spacing w:after="0"/>
      </w:pPr>
    </w:p>
    <w:p w:rsidR="000A6B14" w:rsidRPr="000A6B14" w:rsidRDefault="000A6B14" w:rsidP="00765D9F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856FC8" w:rsidRPr="00856FC8" w:rsidRDefault="00856FC8" w:rsidP="00856FC8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i/>
          <w:sz w:val="16"/>
          <w:szCs w:val="16"/>
        </w:rPr>
        <w:t>Fire Environment Committee</w:t>
      </w:r>
    </w:p>
    <w:p w:rsidR="00856FC8" w:rsidRPr="00856FC8" w:rsidRDefault="000A6B14" w:rsidP="00856FC8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Workforce</w:t>
      </w:r>
      <w:r w:rsidR="00856FC8">
        <w:rPr>
          <w:i/>
          <w:sz w:val="16"/>
          <w:szCs w:val="16"/>
        </w:rPr>
        <w:t xml:space="preserve"> Management Committee</w:t>
      </w:r>
    </w:p>
    <w:p w:rsidR="00856FC8" w:rsidRPr="00856FC8" w:rsidRDefault="00856FC8" w:rsidP="00856FC8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Fire Policy Committee</w:t>
      </w:r>
    </w:p>
    <w:p w:rsidR="00856FC8" w:rsidRPr="00856FC8" w:rsidRDefault="00856FC8" w:rsidP="00856FC8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Information Technology Committee</w:t>
      </w:r>
    </w:p>
    <w:p w:rsidR="00856FC8" w:rsidRDefault="00856FC8" w:rsidP="00765D9F">
      <w:pPr>
        <w:spacing w:after="0"/>
      </w:pPr>
    </w:p>
    <w:p w:rsidR="00C53DD9" w:rsidRDefault="0041677C" w:rsidP="00FA60EF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An </w:t>
      </w:r>
      <w:r w:rsidRPr="00F72B9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>NWCG Committee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</w:t>
      </w:r>
      <w:r w:rsidR="002404B6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is</w:t>
      </w:r>
      <w:r w:rsidR="00672538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formed via a 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Charter, sig</w:t>
      </w:r>
      <w:r w:rsidR="00C53DD9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ned by the NWCG Executive Board Chairperson.  Committee membership is typically an adjunct responsibility.  </w:t>
      </w:r>
      <w:r w:rsidR="000E3C4B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If workload demands, a Committee may delegate segments of its stewardship responsibilities to Subcommittees</w:t>
      </w:r>
      <w:r w:rsidR="0032547B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.</w:t>
      </w:r>
    </w:p>
    <w:p w:rsidR="00FA60EF" w:rsidRPr="00FA60EF" w:rsidRDefault="00FA60EF" w:rsidP="00FA60EF"/>
    <w:p w:rsidR="007071D2" w:rsidRPr="00932A94" w:rsidRDefault="00B3766C" w:rsidP="00FA60EF">
      <w:pPr>
        <w:pStyle w:val="Heading1"/>
        <w:spacing w:before="100" w:beforeAutospacing="1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Subc</w:t>
      </w:r>
      <w:r w:rsidR="007071D2" w:rsidRPr="00932A94">
        <w:rPr>
          <w:color w:val="00B0F0"/>
          <w:sz w:val="24"/>
          <w:szCs w:val="24"/>
        </w:rPr>
        <w:t>ommittee:</w:t>
      </w:r>
    </w:p>
    <w:p w:rsidR="000A6B14" w:rsidRPr="003203FD" w:rsidRDefault="00B761F9" w:rsidP="00765D9F">
      <w:pPr>
        <w:spacing w:after="0"/>
        <w:rPr>
          <w:b/>
        </w:rPr>
      </w:pPr>
      <w:r w:rsidRPr="003203FD">
        <w:rPr>
          <w:b/>
        </w:rPr>
        <w:t xml:space="preserve">A long-standing body </w:t>
      </w:r>
      <w:r w:rsidR="0029672C" w:rsidRPr="003203FD">
        <w:rPr>
          <w:b/>
        </w:rPr>
        <w:t xml:space="preserve">of subject-matter experts </w:t>
      </w:r>
      <w:r w:rsidR="005F109A" w:rsidRPr="003203FD">
        <w:rPr>
          <w:b/>
        </w:rPr>
        <w:t xml:space="preserve">chartered by a Committee </w:t>
      </w:r>
      <w:r w:rsidR="0029672C" w:rsidRPr="003203FD">
        <w:rPr>
          <w:b/>
        </w:rPr>
        <w:t xml:space="preserve">who have been delegated </w:t>
      </w:r>
      <w:r w:rsidR="0032547B" w:rsidRPr="003203FD">
        <w:rPr>
          <w:b/>
        </w:rPr>
        <w:t xml:space="preserve">the </w:t>
      </w:r>
      <w:r w:rsidR="0029672C" w:rsidRPr="003203FD">
        <w:rPr>
          <w:b/>
        </w:rPr>
        <w:t>stewardship responsibilit</w:t>
      </w:r>
      <w:r w:rsidR="0032547B" w:rsidRPr="003203FD">
        <w:rPr>
          <w:b/>
        </w:rPr>
        <w:t xml:space="preserve">ies related to a subset of its sponsor’s </w:t>
      </w:r>
      <w:r w:rsidR="005E5F62">
        <w:rPr>
          <w:b/>
        </w:rPr>
        <w:t xml:space="preserve">functional </w:t>
      </w:r>
      <w:r w:rsidR="0032547B" w:rsidRPr="003203FD">
        <w:rPr>
          <w:b/>
        </w:rPr>
        <w:t>business</w:t>
      </w:r>
      <w:r w:rsidR="005E5F62">
        <w:rPr>
          <w:b/>
        </w:rPr>
        <w:t xml:space="preserve"> areas</w:t>
      </w:r>
      <w:r w:rsidR="0032547B" w:rsidRPr="003203FD">
        <w:rPr>
          <w:b/>
        </w:rPr>
        <w:t xml:space="preserve">  </w:t>
      </w:r>
    </w:p>
    <w:p w:rsidR="0032547B" w:rsidRDefault="0032547B" w:rsidP="00765D9F">
      <w:pPr>
        <w:spacing w:after="0"/>
        <w:rPr>
          <w:b/>
          <w:i/>
          <w:sz w:val="16"/>
          <w:szCs w:val="16"/>
        </w:rPr>
      </w:pPr>
    </w:p>
    <w:p w:rsidR="00856FC8" w:rsidRPr="000A6B14" w:rsidRDefault="000A6B14" w:rsidP="00765D9F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0A6B14" w:rsidRPr="00856FC8" w:rsidRDefault="000A6B14" w:rsidP="000A6B14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i/>
          <w:sz w:val="16"/>
          <w:szCs w:val="16"/>
        </w:rPr>
        <w:t>Fire Behavior Subcommittee</w:t>
      </w:r>
    </w:p>
    <w:p w:rsidR="000A6B14" w:rsidRPr="00856FC8" w:rsidRDefault="000A6B14" w:rsidP="000A6B14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Qualifications Subcommittee</w:t>
      </w:r>
    </w:p>
    <w:p w:rsidR="000A6B14" w:rsidRPr="00856FC8" w:rsidRDefault="000A6B14" w:rsidP="000A6B14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Federal Fire Policy Subcommittee</w:t>
      </w:r>
    </w:p>
    <w:p w:rsidR="000A6B14" w:rsidRPr="00856FC8" w:rsidRDefault="000A6B14" w:rsidP="000A6B14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Geospatial Technology Subcommittee</w:t>
      </w:r>
    </w:p>
    <w:p w:rsidR="00856FC8" w:rsidRDefault="00856FC8" w:rsidP="00765D9F">
      <w:pPr>
        <w:spacing w:after="0"/>
      </w:pPr>
    </w:p>
    <w:p w:rsidR="0041677C" w:rsidRPr="0032547B" w:rsidRDefault="0041677C" w:rsidP="0041677C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An </w:t>
      </w:r>
      <w:r w:rsidRPr="00F72B9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>NWCG Subcommittee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</w:t>
      </w:r>
      <w:r w:rsidR="002404B6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is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formed via</w:t>
      </w:r>
      <w:r w:rsidR="00672538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a </w:t>
      </w:r>
      <w:r w:rsidR="002404B6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Charter, signed by its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sponsoring Committee Chairperson with </w:t>
      </w:r>
      <w:r w:rsidR="002404B6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a 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concurrence </w:t>
      </w:r>
      <w:r w:rsidR="002404B6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signature </w:t>
      </w:r>
      <w:r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from the designated Branch Coordinator.</w:t>
      </w:r>
      <w:r w:rsidR="00C53DD9" w:rsidRP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 Subcommittee membership is typically an adjunct responsibility.</w:t>
      </w:r>
      <w:r w:rsidR="0032547B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 Subcommittees are not allowed to further delegate their stewardship responsibilities to any subordinate group.  </w:t>
      </w:r>
    </w:p>
    <w:p w:rsidR="0041677C" w:rsidRDefault="0041677C" w:rsidP="00765D9F">
      <w:pPr>
        <w:spacing w:after="0"/>
      </w:pPr>
    </w:p>
    <w:p w:rsidR="00783D97" w:rsidRPr="00932A94" w:rsidRDefault="00783D97" w:rsidP="00765D9F">
      <w:pPr>
        <w:pStyle w:val="Heading1"/>
        <w:spacing w:before="0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Task Team:</w:t>
      </w:r>
    </w:p>
    <w:p w:rsidR="00856FC8" w:rsidRPr="003203FD" w:rsidRDefault="00783D97" w:rsidP="00765D9F">
      <w:pPr>
        <w:spacing w:after="0"/>
        <w:rPr>
          <w:b/>
        </w:rPr>
      </w:pPr>
      <w:r w:rsidRPr="003203FD">
        <w:rPr>
          <w:b/>
        </w:rPr>
        <w:t>A body of individuals formed via a tasking order or project charter to acc</w:t>
      </w:r>
      <w:r w:rsidR="00765D9F" w:rsidRPr="003203FD">
        <w:rPr>
          <w:b/>
        </w:rPr>
        <w:t xml:space="preserve">omplish a time-bounded task or </w:t>
      </w:r>
      <w:r w:rsidRPr="003203FD">
        <w:rPr>
          <w:b/>
        </w:rPr>
        <w:t>project for their sponsoring body</w:t>
      </w:r>
    </w:p>
    <w:p w:rsidR="000A6B14" w:rsidRDefault="000A6B14" w:rsidP="000A6B14">
      <w:pPr>
        <w:spacing w:after="0"/>
        <w:rPr>
          <w:b/>
          <w:i/>
          <w:sz w:val="16"/>
          <w:szCs w:val="16"/>
        </w:rPr>
      </w:pPr>
    </w:p>
    <w:p w:rsidR="00856FC8" w:rsidRPr="000A6B14" w:rsidRDefault="000A6B14" w:rsidP="00765D9F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856FC8" w:rsidRPr="00856FC8" w:rsidRDefault="00856FC8" w:rsidP="00856FC8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856FC8">
        <w:rPr>
          <w:i/>
          <w:sz w:val="16"/>
          <w:szCs w:val="16"/>
        </w:rPr>
        <w:t>Interagency Medical Standards Task Team</w:t>
      </w:r>
    </w:p>
    <w:p w:rsidR="00856FC8" w:rsidRPr="00856FC8" w:rsidRDefault="00C20D68" w:rsidP="00856FC8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856FC8">
        <w:rPr>
          <w:i/>
          <w:sz w:val="16"/>
          <w:szCs w:val="16"/>
        </w:rPr>
        <w:t>Thin Client</w:t>
      </w:r>
      <w:r w:rsidR="00856FC8" w:rsidRPr="00856FC8">
        <w:rPr>
          <w:i/>
          <w:sz w:val="16"/>
          <w:szCs w:val="16"/>
        </w:rPr>
        <w:t xml:space="preserve"> Task Team</w:t>
      </w:r>
    </w:p>
    <w:p w:rsidR="00856FC8" w:rsidRPr="00856FC8" w:rsidRDefault="00856FC8" w:rsidP="00856FC8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856FC8">
        <w:rPr>
          <w:i/>
          <w:sz w:val="16"/>
          <w:szCs w:val="16"/>
        </w:rPr>
        <w:t>Radio Voice Task Team</w:t>
      </w:r>
    </w:p>
    <w:p w:rsidR="00856FC8" w:rsidRPr="00856FC8" w:rsidRDefault="00856FC8" w:rsidP="00856FC8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856FC8">
        <w:rPr>
          <w:i/>
          <w:sz w:val="16"/>
          <w:szCs w:val="16"/>
        </w:rPr>
        <w:t>Wireless &amp; Smart Phone Task Team</w:t>
      </w:r>
    </w:p>
    <w:p w:rsidR="00856FC8" w:rsidRDefault="00856FC8" w:rsidP="00765D9F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856FC8">
        <w:rPr>
          <w:i/>
          <w:sz w:val="16"/>
          <w:szCs w:val="16"/>
        </w:rPr>
        <w:t>AMR Task Team</w:t>
      </w:r>
    </w:p>
    <w:p w:rsidR="00C53DD9" w:rsidRDefault="00C53DD9" w:rsidP="00C53DD9">
      <w:pPr>
        <w:pStyle w:val="ListParagraph"/>
        <w:spacing w:after="0"/>
        <w:rPr>
          <w:i/>
          <w:sz w:val="16"/>
          <w:szCs w:val="16"/>
        </w:rPr>
      </w:pPr>
    </w:p>
    <w:p w:rsidR="00C53DD9" w:rsidRDefault="00C53DD9" w:rsidP="00DA042C">
      <w:pPr>
        <w:spacing w:after="0"/>
        <w:rPr>
          <w:i/>
        </w:rPr>
      </w:pPr>
      <w:r w:rsidRPr="0032547B">
        <w:rPr>
          <w:i/>
        </w:rPr>
        <w:t xml:space="preserve">An </w:t>
      </w:r>
      <w:r w:rsidRPr="00F72B99">
        <w:rPr>
          <w:b/>
          <w:i/>
        </w:rPr>
        <w:t>NWCG Task Team</w:t>
      </w:r>
      <w:r w:rsidRPr="0032547B">
        <w:rPr>
          <w:i/>
        </w:rPr>
        <w:t xml:space="preserve"> </w:t>
      </w:r>
      <w:r w:rsidR="00DA042C">
        <w:rPr>
          <w:i/>
        </w:rPr>
        <w:t>can be instigated by any NWCG group.  Task Team membership can be adjunct or full-time.  Task Teams ar</w:t>
      </w:r>
      <w:r w:rsidR="00672538">
        <w:rPr>
          <w:i/>
        </w:rPr>
        <w:t>e not allowed to form any long-standing</w:t>
      </w:r>
      <w:r w:rsidR="00DA042C">
        <w:rPr>
          <w:i/>
        </w:rPr>
        <w:t xml:space="preserve"> subordinate groups.</w:t>
      </w:r>
    </w:p>
    <w:p w:rsidR="00DA042C" w:rsidRPr="00DA042C" w:rsidRDefault="00DA042C" w:rsidP="00DA042C">
      <w:pPr>
        <w:spacing w:after="0"/>
        <w:rPr>
          <w:i/>
        </w:rPr>
      </w:pPr>
    </w:p>
    <w:p w:rsidR="00166F43" w:rsidRPr="00932A94" w:rsidRDefault="00166F43" w:rsidP="00765D9F">
      <w:pPr>
        <w:pStyle w:val="Heading1"/>
        <w:spacing w:before="0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Unit:</w:t>
      </w:r>
    </w:p>
    <w:p w:rsidR="00166F43" w:rsidRDefault="00166F43" w:rsidP="00765D9F">
      <w:pPr>
        <w:spacing w:after="0"/>
      </w:pPr>
      <w:r w:rsidRPr="00F72B99">
        <w:rPr>
          <w:b/>
        </w:rPr>
        <w:t xml:space="preserve"> </w:t>
      </w:r>
      <w:r w:rsidR="00810DC9" w:rsidRPr="00F72B99">
        <w:rPr>
          <w:b/>
        </w:rPr>
        <w:t xml:space="preserve">A </w:t>
      </w:r>
      <w:r w:rsidR="00810DC9" w:rsidRPr="003203FD">
        <w:rPr>
          <w:b/>
        </w:rPr>
        <w:t xml:space="preserve">long-standing body of individuals </w:t>
      </w:r>
      <w:r w:rsidR="00B3766C" w:rsidRPr="003203FD">
        <w:rPr>
          <w:b/>
        </w:rPr>
        <w:t>organiz</w:t>
      </w:r>
      <w:r w:rsidR="00810DC9" w:rsidRPr="003203FD">
        <w:rPr>
          <w:b/>
        </w:rPr>
        <w:t xml:space="preserve">ed to perform </w:t>
      </w:r>
      <w:r w:rsidR="00672538">
        <w:rPr>
          <w:b/>
        </w:rPr>
        <w:t>a specific set of business</w:t>
      </w:r>
      <w:r w:rsidR="00810DC9" w:rsidRPr="003203FD">
        <w:rPr>
          <w:b/>
        </w:rPr>
        <w:t xml:space="preserve"> service</w:t>
      </w:r>
      <w:r w:rsidR="0062151D">
        <w:rPr>
          <w:b/>
        </w:rPr>
        <w:t xml:space="preserve">s or to maintain a specific set of </w:t>
      </w:r>
      <w:r w:rsidR="00672538">
        <w:rPr>
          <w:b/>
        </w:rPr>
        <w:t>product</w:t>
      </w:r>
      <w:r w:rsidR="0062151D">
        <w:rPr>
          <w:b/>
        </w:rPr>
        <w:t>s</w:t>
      </w:r>
    </w:p>
    <w:p w:rsidR="000A6B14" w:rsidRDefault="000A6B14" w:rsidP="00765D9F">
      <w:pPr>
        <w:spacing w:after="0"/>
        <w:rPr>
          <w:b/>
          <w:i/>
          <w:sz w:val="16"/>
          <w:szCs w:val="16"/>
        </w:rPr>
      </w:pPr>
    </w:p>
    <w:p w:rsidR="00856FC8" w:rsidRPr="000A6B14" w:rsidRDefault="000A6B14" w:rsidP="00765D9F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856FC8" w:rsidRPr="00856FC8" w:rsidRDefault="00856FC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lastRenderedPageBreak/>
        <w:t>Architectural Support Unit</w:t>
      </w:r>
    </w:p>
    <w:p w:rsidR="00856FC8" w:rsidRPr="00856FC8" w:rsidRDefault="00856FC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Budget Advisory Unit</w:t>
      </w:r>
    </w:p>
    <w:p w:rsidR="00856FC8" w:rsidRPr="00856FC8" w:rsidRDefault="00856FC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Intelligence Unit</w:t>
      </w:r>
    </w:p>
    <w:p w:rsidR="00856FC8" w:rsidRPr="00856FC8" w:rsidRDefault="00856FC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 xml:space="preserve">National </w:t>
      </w:r>
      <w:r w:rsidR="00F06243" w:rsidRPr="00856FC8">
        <w:rPr>
          <w:i/>
          <w:sz w:val="16"/>
        </w:rPr>
        <w:t>Training Development</w:t>
      </w:r>
      <w:r w:rsidRPr="00856FC8">
        <w:rPr>
          <w:i/>
          <w:sz w:val="16"/>
        </w:rPr>
        <w:t xml:space="preserve"> Unit</w:t>
      </w:r>
    </w:p>
    <w:p w:rsidR="00856FC8" w:rsidRPr="00856FC8" w:rsidRDefault="00856FC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FireFit Unit</w:t>
      </w:r>
    </w:p>
    <w:p w:rsidR="00856FC8" w:rsidRPr="00856FC8" w:rsidRDefault="00C20D6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WFSTAR</w:t>
      </w:r>
      <w:r w:rsidR="00856FC8" w:rsidRPr="00856FC8">
        <w:rPr>
          <w:i/>
          <w:sz w:val="16"/>
        </w:rPr>
        <w:t xml:space="preserve"> Unit</w:t>
      </w:r>
    </w:p>
    <w:p w:rsidR="00856FC8" w:rsidRPr="00856FC8" w:rsidRDefault="00A15CCE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Communications Support</w:t>
      </w:r>
      <w:r w:rsidR="00856FC8" w:rsidRPr="00856FC8">
        <w:rPr>
          <w:i/>
          <w:sz w:val="16"/>
        </w:rPr>
        <w:t xml:space="preserve"> Unit</w:t>
      </w:r>
    </w:p>
    <w:p w:rsidR="00F06243" w:rsidRPr="00856FC8" w:rsidRDefault="00866786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Program Management</w:t>
      </w:r>
      <w:r w:rsidR="00856FC8" w:rsidRPr="00856FC8">
        <w:rPr>
          <w:i/>
          <w:sz w:val="16"/>
        </w:rPr>
        <w:t xml:space="preserve"> Unit</w:t>
      </w:r>
    </w:p>
    <w:p w:rsidR="00856FC8" w:rsidRPr="00856FC8" w:rsidRDefault="00856FC8" w:rsidP="00856FC8">
      <w:pPr>
        <w:pStyle w:val="ListParagraph"/>
        <w:numPr>
          <w:ilvl w:val="0"/>
          <w:numId w:val="9"/>
        </w:numPr>
        <w:spacing w:after="0"/>
        <w:rPr>
          <w:i/>
          <w:sz w:val="16"/>
        </w:rPr>
      </w:pPr>
      <w:r w:rsidRPr="00856FC8">
        <w:rPr>
          <w:i/>
          <w:sz w:val="16"/>
        </w:rPr>
        <w:t>6 Minutes for Safety Unit</w:t>
      </w:r>
    </w:p>
    <w:p w:rsidR="00856FC8" w:rsidRDefault="00856FC8" w:rsidP="00765D9F">
      <w:pPr>
        <w:spacing w:after="0"/>
        <w:rPr>
          <w:i/>
        </w:rPr>
      </w:pPr>
    </w:p>
    <w:p w:rsidR="00DA042C" w:rsidRDefault="00DA042C" w:rsidP="00765D9F">
      <w:pPr>
        <w:spacing w:after="0"/>
        <w:rPr>
          <w:i/>
        </w:rPr>
      </w:pPr>
      <w:r>
        <w:rPr>
          <w:i/>
        </w:rPr>
        <w:t xml:space="preserve">An </w:t>
      </w:r>
      <w:r w:rsidRPr="00F72B99">
        <w:rPr>
          <w:b/>
          <w:i/>
        </w:rPr>
        <w:t>NWCG Unit</w:t>
      </w:r>
      <w:r>
        <w:rPr>
          <w:i/>
        </w:rPr>
        <w:t xml:space="preserve"> can be formed via a variety o</w:t>
      </w:r>
      <w:r w:rsidR="00672538">
        <w:rPr>
          <w:i/>
        </w:rPr>
        <w:t xml:space="preserve">f mechanisms (MOU, MOA, SLA, </w:t>
      </w:r>
      <w:r>
        <w:rPr>
          <w:i/>
        </w:rPr>
        <w:t>Charter</w:t>
      </w:r>
      <w:r w:rsidR="00672538">
        <w:rPr>
          <w:i/>
        </w:rPr>
        <w:t>, etc.</w:t>
      </w:r>
      <w:r>
        <w:rPr>
          <w:i/>
        </w:rPr>
        <w:t xml:space="preserve">) to </w:t>
      </w:r>
      <w:r w:rsidR="003203FD">
        <w:rPr>
          <w:i/>
        </w:rPr>
        <w:t>perform</w:t>
      </w:r>
      <w:r>
        <w:rPr>
          <w:i/>
        </w:rPr>
        <w:t xml:space="preserve"> </w:t>
      </w:r>
      <w:r w:rsidR="00672538">
        <w:rPr>
          <w:i/>
        </w:rPr>
        <w:t>services or maintain products</w:t>
      </w:r>
      <w:r>
        <w:rPr>
          <w:i/>
        </w:rPr>
        <w:t xml:space="preserve"> </w:t>
      </w:r>
      <w:r w:rsidR="00672538">
        <w:rPr>
          <w:i/>
        </w:rPr>
        <w:t>for</w:t>
      </w:r>
      <w:r>
        <w:rPr>
          <w:i/>
        </w:rPr>
        <w:t xml:space="preserve"> one or more NWCG groups.  Unit membership can be adjunct or full-time.  </w:t>
      </w:r>
      <w:r w:rsidR="003203FD">
        <w:rPr>
          <w:i/>
        </w:rPr>
        <w:t xml:space="preserve">A Unit must have a designated leader.  </w:t>
      </w:r>
      <w:r w:rsidR="003203FD" w:rsidRPr="003203FD">
        <w:rPr>
          <w:i/>
        </w:rPr>
        <w:t xml:space="preserve">If workload demands, a </w:t>
      </w:r>
      <w:r w:rsidR="003203FD">
        <w:rPr>
          <w:i/>
        </w:rPr>
        <w:t>Unit</w:t>
      </w:r>
      <w:r w:rsidR="003203FD" w:rsidRPr="003203FD">
        <w:rPr>
          <w:i/>
        </w:rPr>
        <w:t xml:space="preserve"> may </w:t>
      </w:r>
      <w:r w:rsidR="003203FD">
        <w:rPr>
          <w:i/>
        </w:rPr>
        <w:t>create Subunits to perform subsets of</w:t>
      </w:r>
      <w:r w:rsidR="003203FD" w:rsidRPr="003203FD">
        <w:rPr>
          <w:i/>
        </w:rPr>
        <w:t xml:space="preserve"> its </w:t>
      </w:r>
      <w:r w:rsidR="003203FD">
        <w:rPr>
          <w:i/>
        </w:rPr>
        <w:t>service offerings.</w:t>
      </w:r>
    </w:p>
    <w:p w:rsidR="00DA042C" w:rsidRPr="00866786" w:rsidRDefault="00DA042C" w:rsidP="00765D9F">
      <w:pPr>
        <w:spacing w:after="0"/>
        <w:rPr>
          <w:i/>
        </w:rPr>
      </w:pPr>
    </w:p>
    <w:p w:rsidR="00B3766C" w:rsidRPr="00932A94" w:rsidRDefault="00B3766C" w:rsidP="00B3766C">
      <w:pPr>
        <w:pStyle w:val="Heading1"/>
        <w:spacing w:before="0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Subunit:</w:t>
      </w:r>
    </w:p>
    <w:p w:rsidR="00B3766C" w:rsidRPr="003203FD" w:rsidRDefault="00B3766C" w:rsidP="00B3766C">
      <w:pPr>
        <w:spacing w:after="0"/>
        <w:rPr>
          <w:b/>
        </w:rPr>
      </w:pPr>
      <w:r w:rsidRPr="003203FD">
        <w:rPr>
          <w:b/>
        </w:rPr>
        <w:t xml:space="preserve">A long-standing body of </w:t>
      </w:r>
      <w:r w:rsidR="0062151D">
        <w:rPr>
          <w:b/>
        </w:rPr>
        <w:t>individuals</w:t>
      </w:r>
      <w:r w:rsidRPr="003203FD">
        <w:rPr>
          <w:b/>
        </w:rPr>
        <w:t xml:space="preserve"> </w:t>
      </w:r>
      <w:r w:rsidR="00866786" w:rsidRPr="003203FD">
        <w:rPr>
          <w:b/>
        </w:rPr>
        <w:t>organiz</w:t>
      </w:r>
      <w:r w:rsidRPr="003203FD">
        <w:rPr>
          <w:b/>
        </w:rPr>
        <w:t>e</w:t>
      </w:r>
      <w:r w:rsidR="002D180A">
        <w:rPr>
          <w:b/>
        </w:rPr>
        <w:t xml:space="preserve">d by a Unit </w:t>
      </w:r>
      <w:r w:rsidRPr="003203FD">
        <w:rPr>
          <w:b/>
        </w:rPr>
        <w:t xml:space="preserve">to </w:t>
      </w:r>
      <w:r w:rsidR="002D180A">
        <w:rPr>
          <w:b/>
        </w:rPr>
        <w:t>handle a subset of the undertakings of its parent</w:t>
      </w:r>
    </w:p>
    <w:p w:rsidR="000A6B14" w:rsidRDefault="000A6B14" w:rsidP="00B3766C">
      <w:pPr>
        <w:spacing w:after="0"/>
        <w:rPr>
          <w:b/>
          <w:i/>
          <w:sz w:val="16"/>
          <w:szCs w:val="16"/>
        </w:rPr>
      </w:pPr>
    </w:p>
    <w:p w:rsidR="00856FC8" w:rsidRPr="000A6B14" w:rsidRDefault="000A6B14" w:rsidP="00B3766C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856FC8" w:rsidRPr="00856FC8" w:rsidRDefault="00856FC8" w:rsidP="00856FC8">
      <w:pPr>
        <w:pStyle w:val="ListParagraph"/>
        <w:numPr>
          <w:ilvl w:val="0"/>
          <w:numId w:val="10"/>
        </w:numPr>
        <w:spacing w:after="0"/>
        <w:rPr>
          <w:i/>
          <w:sz w:val="16"/>
        </w:rPr>
      </w:pPr>
      <w:r w:rsidRPr="00856FC8">
        <w:rPr>
          <w:i/>
          <w:sz w:val="16"/>
        </w:rPr>
        <w:t>Technical Architecture Subunit</w:t>
      </w:r>
    </w:p>
    <w:p w:rsidR="00856FC8" w:rsidRPr="00856FC8" w:rsidRDefault="00856FC8" w:rsidP="00856FC8">
      <w:pPr>
        <w:pStyle w:val="ListParagraph"/>
        <w:numPr>
          <w:ilvl w:val="0"/>
          <w:numId w:val="10"/>
        </w:numPr>
        <w:spacing w:after="0"/>
        <w:rPr>
          <w:i/>
          <w:sz w:val="16"/>
        </w:rPr>
      </w:pPr>
      <w:r w:rsidRPr="00856FC8">
        <w:rPr>
          <w:i/>
          <w:sz w:val="16"/>
        </w:rPr>
        <w:t>Business Architecture Subunit</w:t>
      </w:r>
    </w:p>
    <w:p w:rsidR="00856FC8" w:rsidRPr="00856FC8" w:rsidRDefault="00856FC8" w:rsidP="00856FC8">
      <w:pPr>
        <w:pStyle w:val="ListParagraph"/>
        <w:numPr>
          <w:ilvl w:val="0"/>
          <w:numId w:val="10"/>
        </w:numPr>
        <w:spacing w:after="0"/>
        <w:rPr>
          <w:i/>
          <w:sz w:val="16"/>
        </w:rPr>
      </w:pPr>
      <w:r w:rsidRPr="00856FC8">
        <w:rPr>
          <w:i/>
          <w:sz w:val="16"/>
        </w:rPr>
        <w:t>Communications Planning Subunit</w:t>
      </w:r>
    </w:p>
    <w:p w:rsidR="00856FC8" w:rsidRPr="00856FC8" w:rsidRDefault="00856FC8" w:rsidP="00856FC8">
      <w:pPr>
        <w:pStyle w:val="ListParagraph"/>
        <w:numPr>
          <w:ilvl w:val="0"/>
          <w:numId w:val="10"/>
        </w:numPr>
        <w:spacing w:after="0"/>
        <w:rPr>
          <w:i/>
          <w:sz w:val="16"/>
        </w:rPr>
      </w:pPr>
      <w:r w:rsidRPr="00856FC8">
        <w:rPr>
          <w:i/>
          <w:sz w:val="16"/>
        </w:rPr>
        <w:t>Communication Delivery Subunit</w:t>
      </w:r>
    </w:p>
    <w:p w:rsidR="00C20D68" w:rsidRPr="00856FC8" w:rsidRDefault="00856FC8" w:rsidP="00856FC8">
      <w:pPr>
        <w:pStyle w:val="ListParagraph"/>
        <w:numPr>
          <w:ilvl w:val="0"/>
          <w:numId w:val="10"/>
        </w:numPr>
        <w:spacing w:after="0"/>
        <w:rPr>
          <w:i/>
          <w:sz w:val="16"/>
        </w:rPr>
      </w:pPr>
      <w:r w:rsidRPr="00856FC8">
        <w:rPr>
          <w:i/>
          <w:sz w:val="16"/>
        </w:rPr>
        <w:t>Web Page Development Subunit</w:t>
      </w:r>
    </w:p>
    <w:p w:rsidR="00856FC8" w:rsidRDefault="00856FC8" w:rsidP="00B3766C">
      <w:pPr>
        <w:spacing w:after="0"/>
        <w:rPr>
          <w:i/>
          <w:sz w:val="16"/>
        </w:rPr>
      </w:pPr>
    </w:p>
    <w:p w:rsidR="003203FD" w:rsidRDefault="003203FD" w:rsidP="003203FD">
      <w:pPr>
        <w:spacing w:after="0"/>
        <w:rPr>
          <w:i/>
        </w:rPr>
      </w:pPr>
      <w:r>
        <w:rPr>
          <w:i/>
        </w:rPr>
        <w:t xml:space="preserve">An </w:t>
      </w:r>
      <w:r w:rsidRPr="00F72B99">
        <w:rPr>
          <w:b/>
          <w:i/>
        </w:rPr>
        <w:t>NWCG Subunit</w:t>
      </w:r>
      <w:r>
        <w:rPr>
          <w:i/>
        </w:rPr>
        <w:t xml:space="preserve"> can be formed by an NWCG Unit via a variety o</w:t>
      </w:r>
      <w:r w:rsidR="00672538">
        <w:rPr>
          <w:i/>
        </w:rPr>
        <w:t xml:space="preserve">f mechanisms (MOU, MOA, SLA, </w:t>
      </w:r>
      <w:r>
        <w:rPr>
          <w:i/>
        </w:rPr>
        <w:t>Charter</w:t>
      </w:r>
      <w:r w:rsidR="00672538">
        <w:rPr>
          <w:i/>
        </w:rPr>
        <w:t>, etc.</w:t>
      </w:r>
      <w:r>
        <w:rPr>
          <w:i/>
        </w:rPr>
        <w:t>)</w:t>
      </w:r>
      <w:r w:rsidRPr="003203FD">
        <w:rPr>
          <w:i/>
        </w:rPr>
        <w:t xml:space="preserve"> </w:t>
      </w:r>
      <w:r>
        <w:rPr>
          <w:i/>
        </w:rPr>
        <w:t xml:space="preserve">to perform </w:t>
      </w:r>
      <w:r w:rsidR="00672538">
        <w:rPr>
          <w:i/>
        </w:rPr>
        <w:t>services or maintain products for</w:t>
      </w:r>
      <w:r>
        <w:rPr>
          <w:i/>
        </w:rPr>
        <w:t xml:space="preserve"> one or more NWCG groups.  Subunit membership can be adjunct or full-time.  Subunits</w:t>
      </w:r>
      <w:r w:rsidRPr="003203FD">
        <w:rPr>
          <w:i/>
        </w:rPr>
        <w:t xml:space="preserve"> </w:t>
      </w:r>
      <w:r>
        <w:rPr>
          <w:i/>
        </w:rPr>
        <w:t>ar</w:t>
      </w:r>
      <w:r w:rsidR="00672538">
        <w:rPr>
          <w:i/>
        </w:rPr>
        <w:t>e not allowed to form any long-standing</w:t>
      </w:r>
      <w:r>
        <w:rPr>
          <w:i/>
        </w:rPr>
        <w:t xml:space="preserve"> subordinate groups.</w:t>
      </w:r>
    </w:p>
    <w:p w:rsidR="003203FD" w:rsidRPr="00866786" w:rsidRDefault="003203FD" w:rsidP="00B3766C">
      <w:pPr>
        <w:spacing w:after="0"/>
        <w:rPr>
          <w:i/>
          <w:sz w:val="16"/>
        </w:rPr>
      </w:pPr>
      <w:r>
        <w:rPr>
          <w:i/>
        </w:rPr>
        <w:t xml:space="preserve"> </w:t>
      </w:r>
    </w:p>
    <w:p w:rsidR="007071D2" w:rsidRPr="00932A94" w:rsidRDefault="007071D2" w:rsidP="00765D9F">
      <w:pPr>
        <w:pStyle w:val="Heading1"/>
        <w:spacing w:before="0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Board:</w:t>
      </w:r>
    </w:p>
    <w:p w:rsidR="00783D97" w:rsidRPr="00DD4792" w:rsidRDefault="00783D97" w:rsidP="00765D9F">
      <w:pPr>
        <w:spacing w:after="0"/>
        <w:rPr>
          <w:b/>
        </w:rPr>
      </w:pPr>
      <w:r w:rsidRPr="00DD4792">
        <w:rPr>
          <w:b/>
        </w:rPr>
        <w:t xml:space="preserve">A </w:t>
      </w:r>
      <w:r w:rsidR="00765D9F" w:rsidRPr="00DD4792">
        <w:rPr>
          <w:b/>
        </w:rPr>
        <w:t>type of</w:t>
      </w:r>
      <w:r w:rsidR="00765D9F" w:rsidRPr="0062151D">
        <w:rPr>
          <w:b/>
          <w:color w:val="00B0F0"/>
        </w:rPr>
        <w:t xml:space="preserve"> </w:t>
      </w:r>
      <w:r w:rsidR="00810DC9" w:rsidRPr="0062151D">
        <w:rPr>
          <w:b/>
          <w:color w:val="00B0F0"/>
        </w:rPr>
        <w:t>Unit</w:t>
      </w:r>
      <w:r w:rsidRPr="00DD4792">
        <w:rPr>
          <w:b/>
        </w:rPr>
        <w:t xml:space="preserve"> </w:t>
      </w:r>
      <w:r w:rsidR="006C6222" w:rsidRPr="00DD4792">
        <w:rPr>
          <w:b/>
        </w:rPr>
        <w:t xml:space="preserve">chartered </w:t>
      </w:r>
      <w:r w:rsidR="00765D9F" w:rsidRPr="00DD4792">
        <w:rPr>
          <w:b/>
        </w:rPr>
        <w:t xml:space="preserve">specifically </w:t>
      </w:r>
      <w:r w:rsidRPr="00DD4792">
        <w:rPr>
          <w:b/>
        </w:rPr>
        <w:t xml:space="preserve">to </w:t>
      </w:r>
      <w:r w:rsidR="006C6222" w:rsidRPr="00DD4792">
        <w:rPr>
          <w:b/>
        </w:rPr>
        <w:t>filter proposals</w:t>
      </w:r>
      <w:r w:rsidRPr="00DD4792">
        <w:rPr>
          <w:b/>
        </w:rPr>
        <w:t xml:space="preserve"> </w:t>
      </w:r>
      <w:r w:rsidR="00C34929">
        <w:rPr>
          <w:b/>
        </w:rPr>
        <w:t xml:space="preserve">or provide operational advice </w:t>
      </w:r>
      <w:r w:rsidRPr="00DD4792">
        <w:rPr>
          <w:b/>
        </w:rPr>
        <w:t>for their sponsoring body</w:t>
      </w:r>
    </w:p>
    <w:p w:rsidR="000A6B14" w:rsidRDefault="000A6B14" w:rsidP="00765D9F">
      <w:pPr>
        <w:spacing w:after="0"/>
        <w:rPr>
          <w:b/>
          <w:i/>
          <w:sz w:val="16"/>
          <w:szCs w:val="16"/>
        </w:rPr>
      </w:pPr>
    </w:p>
    <w:p w:rsidR="00856FC8" w:rsidRPr="000A6B14" w:rsidRDefault="000A6B14" w:rsidP="00765D9F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856FC8" w:rsidRPr="00856FC8" w:rsidRDefault="00810DC9" w:rsidP="00856FC8">
      <w:pPr>
        <w:pStyle w:val="ListParagraph"/>
        <w:numPr>
          <w:ilvl w:val="0"/>
          <w:numId w:val="11"/>
        </w:numPr>
        <w:spacing w:after="0"/>
        <w:rPr>
          <w:i/>
          <w:sz w:val="16"/>
        </w:rPr>
      </w:pPr>
      <w:r w:rsidRPr="00856FC8">
        <w:rPr>
          <w:i/>
          <w:sz w:val="16"/>
        </w:rPr>
        <w:t>Inv</w:t>
      </w:r>
      <w:r w:rsidR="00856FC8" w:rsidRPr="00856FC8">
        <w:rPr>
          <w:i/>
          <w:sz w:val="16"/>
        </w:rPr>
        <w:t>estment Review Board</w:t>
      </w:r>
    </w:p>
    <w:p w:rsidR="00856FC8" w:rsidRPr="00856FC8" w:rsidRDefault="00856FC8" w:rsidP="00856FC8">
      <w:pPr>
        <w:pStyle w:val="ListParagraph"/>
        <w:numPr>
          <w:ilvl w:val="0"/>
          <w:numId w:val="11"/>
        </w:numPr>
        <w:spacing w:after="0"/>
        <w:rPr>
          <w:i/>
          <w:sz w:val="16"/>
        </w:rPr>
      </w:pPr>
      <w:r w:rsidRPr="00856FC8">
        <w:rPr>
          <w:i/>
          <w:sz w:val="16"/>
        </w:rPr>
        <w:t>Change Management Board</w:t>
      </w:r>
    </w:p>
    <w:p w:rsidR="00856FC8" w:rsidRPr="00856FC8" w:rsidRDefault="00C34929" w:rsidP="00856FC8">
      <w:pPr>
        <w:pStyle w:val="ListParagraph"/>
        <w:numPr>
          <w:ilvl w:val="0"/>
          <w:numId w:val="11"/>
        </w:numPr>
        <w:spacing w:after="0"/>
        <w:rPr>
          <w:i/>
          <w:sz w:val="16"/>
        </w:rPr>
      </w:pPr>
      <w:r>
        <w:rPr>
          <w:i/>
          <w:sz w:val="16"/>
        </w:rPr>
        <w:t>National GACC Advisory Board</w:t>
      </w:r>
    </w:p>
    <w:p w:rsidR="00810DC9" w:rsidRPr="00856FC8" w:rsidRDefault="00856FC8" w:rsidP="00856FC8">
      <w:pPr>
        <w:pStyle w:val="ListParagraph"/>
        <w:numPr>
          <w:ilvl w:val="0"/>
          <w:numId w:val="11"/>
        </w:numPr>
        <w:spacing w:after="0"/>
        <w:rPr>
          <w:i/>
          <w:sz w:val="16"/>
        </w:rPr>
      </w:pPr>
      <w:r w:rsidRPr="00856FC8">
        <w:rPr>
          <w:i/>
          <w:sz w:val="16"/>
        </w:rPr>
        <w:t>Technical Review Board</w:t>
      </w:r>
    </w:p>
    <w:p w:rsidR="00DD4792" w:rsidRDefault="00DD4792" w:rsidP="00765D9F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</w:p>
    <w:p w:rsidR="00DD4792" w:rsidRDefault="003B4840" w:rsidP="00DD4792">
      <w:pPr>
        <w:spacing w:after="0"/>
        <w:rPr>
          <w:i/>
        </w:rPr>
      </w:pPr>
      <w:r>
        <w:rPr>
          <w:i/>
        </w:rPr>
        <w:t xml:space="preserve">An </w:t>
      </w:r>
      <w:r w:rsidRPr="00F72B99">
        <w:rPr>
          <w:b/>
          <w:i/>
        </w:rPr>
        <w:t>NWCG Board</w:t>
      </w:r>
      <w:r>
        <w:rPr>
          <w:i/>
        </w:rPr>
        <w:t xml:space="preserve"> may be</w:t>
      </w:r>
      <w:r w:rsidR="00DD4792">
        <w:rPr>
          <w:i/>
        </w:rPr>
        <w:t xml:space="preserve"> chartered</w:t>
      </w:r>
      <w:r>
        <w:rPr>
          <w:i/>
        </w:rPr>
        <w:t xml:space="preserve"> by a Committee, a Subcommittee, </w:t>
      </w:r>
      <w:r w:rsidR="00C34929">
        <w:rPr>
          <w:i/>
        </w:rPr>
        <w:t xml:space="preserve">NMAC, </w:t>
      </w:r>
      <w:r>
        <w:rPr>
          <w:i/>
        </w:rPr>
        <w:t>or the Executive Board</w:t>
      </w:r>
      <w:r w:rsidR="00DD4792" w:rsidRPr="00DD4792">
        <w:rPr>
          <w:i/>
        </w:rPr>
        <w:t>.</w:t>
      </w:r>
      <w:r w:rsidR="00DD4792">
        <w:rPr>
          <w:i/>
        </w:rPr>
        <w:t xml:space="preserve"> NWCG Boards </w:t>
      </w:r>
      <w:r w:rsidR="00C34929">
        <w:rPr>
          <w:i/>
        </w:rPr>
        <w:t xml:space="preserve">provide advice and/or </w:t>
      </w:r>
      <w:r w:rsidR="00DD4792">
        <w:rPr>
          <w:i/>
        </w:rPr>
        <w:t>maintain change prioritization criteria for specific NWCG business areas</w:t>
      </w:r>
      <w:r>
        <w:rPr>
          <w:i/>
        </w:rPr>
        <w:t xml:space="preserve">, meet as needed, </w:t>
      </w:r>
      <w:r w:rsidR="00DD4792">
        <w:rPr>
          <w:i/>
        </w:rPr>
        <w:t>and are delegated the decisional authority to recommend or reject</w:t>
      </w:r>
      <w:r w:rsidR="00DD4792">
        <w:rPr>
          <w:b/>
          <w:bCs/>
          <w:i/>
        </w:rPr>
        <w:t xml:space="preserve"> </w:t>
      </w:r>
      <w:r w:rsidR="00DD4792">
        <w:rPr>
          <w:bCs/>
          <w:i/>
        </w:rPr>
        <w:t xml:space="preserve">proposals. </w:t>
      </w:r>
      <w:r>
        <w:rPr>
          <w:bCs/>
          <w:i/>
        </w:rPr>
        <w:t xml:space="preserve"> </w:t>
      </w:r>
      <w:r w:rsidRPr="00DD4792">
        <w:rPr>
          <w:i/>
        </w:rPr>
        <w:t>NWCG Board membership is typically an adjunct responsibility</w:t>
      </w:r>
      <w:r>
        <w:rPr>
          <w:i/>
        </w:rPr>
        <w:t xml:space="preserve">. </w:t>
      </w:r>
      <w:r w:rsidR="00DD4792">
        <w:rPr>
          <w:i/>
        </w:rPr>
        <w:t xml:space="preserve">NWCG Boards </w:t>
      </w:r>
      <w:r w:rsidR="00672538">
        <w:rPr>
          <w:i/>
        </w:rPr>
        <w:t xml:space="preserve">are not allowed to form any </w:t>
      </w:r>
      <w:r w:rsidR="00DD4792">
        <w:rPr>
          <w:i/>
        </w:rPr>
        <w:t>l</w:t>
      </w:r>
      <w:r w:rsidR="00672538">
        <w:rPr>
          <w:i/>
        </w:rPr>
        <w:t>ong-standing</w:t>
      </w:r>
      <w:r w:rsidR="00DD4792">
        <w:rPr>
          <w:i/>
        </w:rPr>
        <w:t xml:space="preserve"> subordinate groups.</w:t>
      </w:r>
    </w:p>
    <w:p w:rsidR="00DD4792" w:rsidRDefault="00DD4792" w:rsidP="00765D9F">
      <w:pPr>
        <w:pStyle w:val="Heading1"/>
        <w:spacing w:before="0"/>
        <w:rPr>
          <w:color w:val="00B0F0"/>
          <w:sz w:val="24"/>
          <w:szCs w:val="24"/>
        </w:rPr>
      </w:pPr>
    </w:p>
    <w:p w:rsidR="00096FA1" w:rsidRPr="00932A94" w:rsidRDefault="00096FA1" w:rsidP="00765D9F">
      <w:pPr>
        <w:pStyle w:val="Heading1"/>
        <w:spacing w:before="0"/>
        <w:rPr>
          <w:color w:val="00B0F0"/>
          <w:sz w:val="24"/>
          <w:szCs w:val="24"/>
        </w:rPr>
      </w:pPr>
      <w:r w:rsidRPr="00932A94">
        <w:rPr>
          <w:color w:val="00B0F0"/>
          <w:sz w:val="24"/>
          <w:szCs w:val="24"/>
        </w:rPr>
        <w:t>Branch:</w:t>
      </w:r>
    </w:p>
    <w:p w:rsidR="00096FA1" w:rsidRPr="00DD4792" w:rsidRDefault="006042AA" w:rsidP="00765D9F">
      <w:pPr>
        <w:spacing w:after="0"/>
        <w:rPr>
          <w:b/>
        </w:rPr>
      </w:pPr>
      <w:r>
        <w:rPr>
          <w:b/>
        </w:rPr>
        <w:t>Not an actual “NWCG group”, but rather a</w:t>
      </w:r>
      <w:r w:rsidR="00096FA1" w:rsidRPr="00DD4792">
        <w:rPr>
          <w:b/>
        </w:rPr>
        <w:t xml:space="preserve"> </w:t>
      </w:r>
      <w:r w:rsidR="00672538">
        <w:rPr>
          <w:b/>
        </w:rPr>
        <w:t>set</w:t>
      </w:r>
      <w:r w:rsidR="00096FA1" w:rsidRPr="00DD4792">
        <w:rPr>
          <w:b/>
        </w:rPr>
        <w:t xml:space="preserve"> of </w:t>
      </w:r>
      <w:r w:rsidR="00765D9F" w:rsidRPr="00DD4792">
        <w:rPr>
          <w:b/>
        </w:rPr>
        <w:t xml:space="preserve">NWCG </w:t>
      </w:r>
      <w:r w:rsidR="00672538">
        <w:rPr>
          <w:b/>
        </w:rPr>
        <w:t xml:space="preserve">groups </w:t>
      </w:r>
      <w:r w:rsidR="0062151D">
        <w:rPr>
          <w:b/>
        </w:rPr>
        <w:t xml:space="preserve">administratively </w:t>
      </w:r>
      <w:r w:rsidR="00621265">
        <w:rPr>
          <w:b/>
        </w:rPr>
        <w:t>arranged</w:t>
      </w:r>
      <w:r w:rsidR="00096FA1" w:rsidRPr="00DD4792">
        <w:rPr>
          <w:b/>
        </w:rPr>
        <w:t xml:space="preserve"> together for </w:t>
      </w:r>
      <w:r w:rsidR="00672538">
        <w:rPr>
          <w:b/>
        </w:rPr>
        <w:t>purposes of management and coordination</w:t>
      </w:r>
    </w:p>
    <w:p w:rsidR="000A6B14" w:rsidRDefault="000A6B14" w:rsidP="00765D9F">
      <w:pPr>
        <w:spacing w:after="0"/>
        <w:rPr>
          <w:b/>
          <w:i/>
          <w:sz w:val="16"/>
          <w:szCs w:val="16"/>
        </w:rPr>
      </w:pPr>
    </w:p>
    <w:p w:rsidR="00856FC8" w:rsidRPr="000A6B14" w:rsidRDefault="000A6B14" w:rsidP="00765D9F">
      <w:pPr>
        <w:spacing w:after="0"/>
        <w:rPr>
          <w:b/>
          <w:i/>
          <w:sz w:val="16"/>
          <w:szCs w:val="16"/>
        </w:rPr>
      </w:pPr>
      <w:r w:rsidRPr="000A6B14">
        <w:rPr>
          <w:b/>
          <w:i/>
          <w:sz w:val="16"/>
          <w:szCs w:val="16"/>
        </w:rPr>
        <w:t>Examples:</w:t>
      </w:r>
    </w:p>
    <w:p w:rsidR="00856FC8" w:rsidRPr="00856FC8" w:rsidRDefault="00810DC9" w:rsidP="00856FC8">
      <w:pPr>
        <w:pStyle w:val="ListParagraph"/>
        <w:numPr>
          <w:ilvl w:val="0"/>
          <w:numId w:val="12"/>
        </w:numPr>
        <w:spacing w:after="0"/>
        <w:rPr>
          <w:i/>
          <w:sz w:val="16"/>
        </w:rPr>
      </w:pPr>
      <w:r w:rsidRPr="00856FC8">
        <w:rPr>
          <w:i/>
          <w:sz w:val="16"/>
        </w:rPr>
        <w:t>Support Services</w:t>
      </w:r>
      <w:r w:rsidR="00856FC8" w:rsidRPr="00856FC8">
        <w:rPr>
          <w:i/>
          <w:sz w:val="16"/>
        </w:rPr>
        <w:t xml:space="preserve"> Branch</w:t>
      </w:r>
    </w:p>
    <w:p w:rsidR="00856FC8" w:rsidRPr="00856FC8" w:rsidRDefault="00810DC9" w:rsidP="00856FC8">
      <w:pPr>
        <w:pStyle w:val="ListParagraph"/>
        <w:numPr>
          <w:ilvl w:val="0"/>
          <w:numId w:val="12"/>
        </w:numPr>
        <w:spacing w:after="0"/>
        <w:rPr>
          <w:i/>
          <w:sz w:val="16"/>
        </w:rPr>
      </w:pPr>
      <w:r w:rsidRPr="00856FC8">
        <w:rPr>
          <w:i/>
          <w:sz w:val="16"/>
        </w:rPr>
        <w:t>Policy,</w:t>
      </w:r>
      <w:r w:rsidR="00856FC8" w:rsidRPr="00856FC8">
        <w:rPr>
          <w:i/>
          <w:sz w:val="16"/>
        </w:rPr>
        <w:t xml:space="preserve"> </w:t>
      </w:r>
      <w:r w:rsidRPr="00856FC8">
        <w:rPr>
          <w:i/>
          <w:sz w:val="16"/>
        </w:rPr>
        <w:t>Planning &amp; M</w:t>
      </w:r>
      <w:r w:rsidR="00856FC8" w:rsidRPr="00856FC8">
        <w:rPr>
          <w:i/>
          <w:sz w:val="16"/>
        </w:rPr>
        <w:t>ana</w:t>
      </w:r>
      <w:r w:rsidRPr="00856FC8">
        <w:rPr>
          <w:i/>
          <w:sz w:val="16"/>
        </w:rPr>
        <w:t>g</w:t>
      </w:r>
      <w:r w:rsidR="00856FC8" w:rsidRPr="00856FC8">
        <w:rPr>
          <w:i/>
          <w:sz w:val="16"/>
        </w:rPr>
        <w:t>e</w:t>
      </w:r>
      <w:r w:rsidRPr="00856FC8">
        <w:rPr>
          <w:i/>
          <w:sz w:val="16"/>
        </w:rPr>
        <w:t>m</w:t>
      </w:r>
      <w:r w:rsidR="00856FC8" w:rsidRPr="00856FC8">
        <w:rPr>
          <w:i/>
          <w:sz w:val="16"/>
        </w:rPr>
        <w:t>en</w:t>
      </w:r>
      <w:r w:rsidRPr="00856FC8">
        <w:rPr>
          <w:i/>
          <w:sz w:val="16"/>
        </w:rPr>
        <w:t>t</w:t>
      </w:r>
      <w:r w:rsidR="00856FC8" w:rsidRPr="00856FC8">
        <w:rPr>
          <w:i/>
          <w:sz w:val="16"/>
        </w:rPr>
        <w:t xml:space="preserve"> Branch</w:t>
      </w:r>
    </w:p>
    <w:p w:rsidR="00856FC8" w:rsidRPr="00856FC8" w:rsidRDefault="00856FC8" w:rsidP="00856FC8">
      <w:pPr>
        <w:pStyle w:val="ListParagraph"/>
        <w:numPr>
          <w:ilvl w:val="0"/>
          <w:numId w:val="12"/>
        </w:numPr>
        <w:spacing w:after="0"/>
        <w:rPr>
          <w:i/>
          <w:sz w:val="16"/>
        </w:rPr>
      </w:pPr>
      <w:r w:rsidRPr="00856FC8">
        <w:rPr>
          <w:i/>
          <w:sz w:val="16"/>
        </w:rPr>
        <w:t>Equipment &amp; Technology Branch</w:t>
      </w:r>
    </w:p>
    <w:p w:rsidR="00810DC9" w:rsidRPr="00856FC8" w:rsidRDefault="00551B0D" w:rsidP="00856FC8">
      <w:pPr>
        <w:pStyle w:val="ListParagraph"/>
        <w:numPr>
          <w:ilvl w:val="0"/>
          <w:numId w:val="12"/>
        </w:numPr>
        <w:spacing w:after="0"/>
        <w:rPr>
          <w:i/>
          <w:sz w:val="16"/>
        </w:rPr>
      </w:pPr>
      <w:r>
        <w:rPr>
          <w:i/>
          <w:sz w:val="16"/>
        </w:rPr>
        <w:t>Preparedness Branch</w:t>
      </w:r>
    </w:p>
    <w:p w:rsidR="00F72B99" w:rsidRDefault="00F72B99" w:rsidP="00096FA1">
      <w:pPr>
        <w:rPr>
          <w:i/>
        </w:rPr>
      </w:pPr>
    </w:p>
    <w:p w:rsidR="00AC1CE6" w:rsidRPr="003B4840" w:rsidRDefault="003B4840" w:rsidP="00096FA1">
      <w:pPr>
        <w:rPr>
          <w:i/>
        </w:rPr>
      </w:pPr>
      <w:r>
        <w:rPr>
          <w:i/>
        </w:rPr>
        <w:t>NWCG Branches are created as necessary to facilitate the manageme</w:t>
      </w:r>
      <w:r w:rsidR="00E80151">
        <w:rPr>
          <w:i/>
        </w:rPr>
        <w:t>nt of NWCG groups.   An NWCG Branch must have an assigned Branch Coordinator to provide interface between the NWCG Executive Board and Branch groups.</w:t>
      </w:r>
    </w:p>
    <w:sectPr w:rsidR="00AC1CE6" w:rsidRPr="003B4840" w:rsidSect="00096FA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6F" w:rsidRDefault="003D0E6F" w:rsidP="00FA60EF">
      <w:pPr>
        <w:spacing w:after="0" w:line="240" w:lineRule="auto"/>
      </w:pPr>
      <w:r>
        <w:separator/>
      </w:r>
    </w:p>
  </w:endnote>
  <w:endnote w:type="continuationSeparator" w:id="1">
    <w:p w:rsidR="003D0E6F" w:rsidRDefault="003D0E6F" w:rsidP="00F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6F" w:rsidRPr="00F72B99" w:rsidRDefault="004F66AD">
    <w:pPr>
      <w:pStyle w:val="Footer"/>
      <w:rPr>
        <w:sz w:val="16"/>
        <w:szCs w:val="16"/>
      </w:rPr>
    </w:pPr>
    <w:fldSimple w:instr=" FILENAME   \* MERGEFORMAT ">
      <w:r w:rsidR="00C34929" w:rsidRPr="00C34929">
        <w:rPr>
          <w:noProof/>
          <w:sz w:val="16"/>
          <w:szCs w:val="16"/>
        </w:rPr>
        <w:t>NWCG Organization definitions v1.8.docx</w:t>
      </w:r>
    </w:fldSimple>
    <w:r w:rsidR="003D0E6F">
      <w:tab/>
    </w:r>
    <w:r w:rsidR="003D0E6F">
      <w:tab/>
    </w:r>
    <w:r w:rsidR="003D0E6F">
      <w:tab/>
    </w:r>
    <w:r w:rsidRPr="0062151D">
      <w:rPr>
        <w:sz w:val="16"/>
        <w:szCs w:val="16"/>
      </w:rPr>
      <w:fldChar w:fldCharType="begin"/>
    </w:r>
    <w:r w:rsidR="003D0E6F" w:rsidRPr="0062151D">
      <w:rPr>
        <w:sz w:val="16"/>
        <w:szCs w:val="16"/>
      </w:rPr>
      <w:instrText xml:space="preserve"> CREATEDATE  \@ "M/d/yyyy"  \* MERGEFORMAT </w:instrText>
    </w:r>
    <w:r w:rsidRPr="0062151D">
      <w:rPr>
        <w:sz w:val="16"/>
        <w:szCs w:val="16"/>
      </w:rPr>
      <w:fldChar w:fldCharType="separate"/>
    </w:r>
    <w:r w:rsidR="00C34929">
      <w:rPr>
        <w:noProof/>
        <w:sz w:val="16"/>
        <w:szCs w:val="16"/>
      </w:rPr>
      <w:t>8/14/2008</w:t>
    </w:r>
    <w:r w:rsidRPr="0062151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6F" w:rsidRDefault="003D0E6F" w:rsidP="00FA60EF">
      <w:pPr>
        <w:spacing w:after="0" w:line="240" w:lineRule="auto"/>
      </w:pPr>
      <w:r>
        <w:separator/>
      </w:r>
    </w:p>
  </w:footnote>
  <w:footnote w:type="continuationSeparator" w:id="1">
    <w:p w:rsidR="003D0E6F" w:rsidRDefault="003D0E6F" w:rsidP="00F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C05"/>
    <w:multiLevelType w:val="hybridMultilevel"/>
    <w:tmpl w:val="095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4776"/>
    <w:multiLevelType w:val="hybridMultilevel"/>
    <w:tmpl w:val="927C0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A55"/>
    <w:multiLevelType w:val="hybridMultilevel"/>
    <w:tmpl w:val="F97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2179"/>
    <w:multiLevelType w:val="hybridMultilevel"/>
    <w:tmpl w:val="96F0E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C3098"/>
    <w:multiLevelType w:val="hybridMultilevel"/>
    <w:tmpl w:val="F69A1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0D72"/>
    <w:multiLevelType w:val="hybridMultilevel"/>
    <w:tmpl w:val="E07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D4DBF"/>
    <w:multiLevelType w:val="hybridMultilevel"/>
    <w:tmpl w:val="BE4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004A"/>
    <w:multiLevelType w:val="hybridMultilevel"/>
    <w:tmpl w:val="7E24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48E8"/>
    <w:multiLevelType w:val="hybridMultilevel"/>
    <w:tmpl w:val="77CAE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15CDE"/>
    <w:multiLevelType w:val="hybridMultilevel"/>
    <w:tmpl w:val="E0A8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41392"/>
    <w:multiLevelType w:val="hybridMultilevel"/>
    <w:tmpl w:val="E7380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038BE"/>
    <w:multiLevelType w:val="hybridMultilevel"/>
    <w:tmpl w:val="1B501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D2"/>
    <w:rsid w:val="00043E61"/>
    <w:rsid w:val="00096FA1"/>
    <w:rsid w:val="000A6B14"/>
    <w:rsid w:val="000E3C4B"/>
    <w:rsid w:val="0014045C"/>
    <w:rsid w:val="00166F43"/>
    <w:rsid w:val="00185462"/>
    <w:rsid w:val="0019287B"/>
    <w:rsid w:val="001A038A"/>
    <w:rsid w:val="001A653D"/>
    <w:rsid w:val="001C3EB1"/>
    <w:rsid w:val="0022524F"/>
    <w:rsid w:val="0023551D"/>
    <w:rsid w:val="002404B6"/>
    <w:rsid w:val="00241B22"/>
    <w:rsid w:val="0029672C"/>
    <w:rsid w:val="002D180A"/>
    <w:rsid w:val="00314E74"/>
    <w:rsid w:val="00315F7B"/>
    <w:rsid w:val="003203FD"/>
    <w:rsid w:val="0032547B"/>
    <w:rsid w:val="003319BA"/>
    <w:rsid w:val="00336C87"/>
    <w:rsid w:val="00352F4D"/>
    <w:rsid w:val="003A3C41"/>
    <w:rsid w:val="003A3CB5"/>
    <w:rsid w:val="003B4840"/>
    <w:rsid w:val="003D0E6F"/>
    <w:rsid w:val="0041677C"/>
    <w:rsid w:val="004C482F"/>
    <w:rsid w:val="004F66AD"/>
    <w:rsid w:val="005014EF"/>
    <w:rsid w:val="0054736D"/>
    <w:rsid w:val="00551B0D"/>
    <w:rsid w:val="005A6316"/>
    <w:rsid w:val="005E5F62"/>
    <w:rsid w:val="005F109A"/>
    <w:rsid w:val="006042AA"/>
    <w:rsid w:val="00621265"/>
    <w:rsid w:val="0062151D"/>
    <w:rsid w:val="00652EFC"/>
    <w:rsid w:val="00671587"/>
    <w:rsid w:val="00672538"/>
    <w:rsid w:val="0068416E"/>
    <w:rsid w:val="00687C96"/>
    <w:rsid w:val="006921F8"/>
    <w:rsid w:val="006C6222"/>
    <w:rsid w:val="007071D2"/>
    <w:rsid w:val="007359B0"/>
    <w:rsid w:val="00765D9F"/>
    <w:rsid w:val="00766613"/>
    <w:rsid w:val="00783D97"/>
    <w:rsid w:val="007C11CB"/>
    <w:rsid w:val="007D2C52"/>
    <w:rsid w:val="00810DC9"/>
    <w:rsid w:val="00815813"/>
    <w:rsid w:val="00856FC8"/>
    <w:rsid w:val="00866786"/>
    <w:rsid w:val="008C020F"/>
    <w:rsid w:val="00932A94"/>
    <w:rsid w:val="00985FDE"/>
    <w:rsid w:val="009942D0"/>
    <w:rsid w:val="009C05E2"/>
    <w:rsid w:val="00A15CCE"/>
    <w:rsid w:val="00A47ED4"/>
    <w:rsid w:val="00A8590F"/>
    <w:rsid w:val="00AC1CE6"/>
    <w:rsid w:val="00AE108D"/>
    <w:rsid w:val="00AE7E04"/>
    <w:rsid w:val="00B15BC6"/>
    <w:rsid w:val="00B21300"/>
    <w:rsid w:val="00B2486B"/>
    <w:rsid w:val="00B3766C"/>
    <w:rsid w:val="00B601E3"/>
    <w:rsid w:val="00B761F9"/>
    <w:rsid w:val="00B772B2"/>
    <w:rsid w:val="00BE2F94"/>
    <w:rsid w:val="00C10349"/>
    <w:rsid w:val="00C14941"/>
    <w:rsid w:val="00C20D68"/>
    <w:rsid w:val="00C34929"/>
    <w:rsid w:val="00C405A6"/>
    <w:rsid w:val="00C53DD9"/>
    <w:rsid w:val="00CC4803"/>
    <w:rsid w:val="00D728AE"/>
    <w:rsid w:val="00DA042C"/>
    <w:rsid w:val="00DD4792"/>
    <w:rsid w:val="00E35835"/>
    <w:rsid w:val="00E6635B"/>
    <w:rsid w:val="00E80151"/>
    <w:rsid w:val="00ED6887"/>
    <w:rsid w:val="00F06243"/>
    <w:rsid w:val="00F72B99"/>
    <w:rsid w:val="00F9251B"/>
    <w:rsid w:val="00FA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B0"/>
  </w:style>
  <w:style w:type="paragraph" w:styleId="Heading1">
    <w:name w:val="heading 1"/>
    <w:basedOn w:val="Normal"/>
    <w:next w:val="Normal"/>
    <w:link w:val="Heading1Char"/>
    <w:uiPriority w:val="9"/>
    <w:qFormat/>
    <w:rsid w:val="00B76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3C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EF"/>
  </w:style>
  <w:style w:type="paragraph" w:styleId="Footer">
    <w:name w:val="footer"/>
    <w:basedOn w:val="Normal"/>
    <w:link w:val="FooterChar"/>
    <w:uiPriority w:val="99"/>
    <w:semiHidden/>
    <w:unhideWhenUsed/>
    <w:rsid w:val="00FA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0EF"/>
  </w:style>
  <w:style w:type="paragraph" w:styleId="NoSpacing">
    <w:name w:val="No Spacing"/>
    <w:link w:val="NoSpacingChar"/>
    <w:uiPriority w:val="1"/>
    <w:qFormat/>
    <w:rsid w:val="00FA60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60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A6F9-AB75-4B71-86F6-4C3E129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aborup</dc:creator>
  <cp:keywords/>
  <dc:description/>
  <cp:lastModifiedBy>aborup</cp:lastModifiedBy>
  <cp:revision>3</cp:revision>
  <cp:lastPrinted>2008-08-07T14:59:00Z</cp:lastPrinted>
  <dcterms:created xsi:type="dcterms:W3CDTF">2008-08-14T22:33:00Z</dcterms:created>
  <dcterms:modified xsi:type="dcterms:W3CDTF">2008-08-14T22:37:00Z</dcterms:modified>
</cp:coreProperties>
</file>