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65" w:rsidRDefault="00977965" w:rsidP="00DB118B">
      <w:pPr>
        <w:rPr>
          <w:rFonts w:ascii="Arial" w:hAnsi="Arial" w:cs="Arial"/>
          <w:b/>
          <w:sz w:val="28"/>
          <w:szCs w:val="28"/>
        </w:rPr>
      </w:pPr>
    </w:p>
    <w:p w:rsidR="00DB118B" w:rsidRPr="005810AD" w:rsidRDefault="00DB118B" w:rsidP="00DB118B">
      <w:pPr>
        <w:rPr>
          <w:rFonts w:asciiTheme="majorHAnsi" w:hAnsiTheme="majorHAnsi" w:cs="Arial"/>
          <w:b/>
          <w:sz w:val="32"/>
          <w:szCs w:val="32"/>
        </w:rPr>
      </w:pPr>
      <w:r w:rsidRPr="005810AD">
        <w:rPr>
          <w:rFonts w:asciiTheme="majorHAnsi" w:hAnsiTheme="majorHAnsi" w:cs="Arial"/>
          <w:b/>
          <w:sz w:val="32"/>
          <w:szCs w:val="32"/>
        </w:rPr>
        <w:t>Potential Smoke Impacts Daily Report</w:t>
      </w:r>
      <w:r w:rsidR="00977965" w:rsidRPr="005810AD">
        <w:rPr>
          <w:rFonts w:asciiTheme="majorHAnsi" w:hAnsiTheme="majorHAnsi" w:cs="Arial"/>
          <w:b/>
          <w:sz w:val="32"/>
          <w:szCs w:val="32"/>
        </w:rPr>
        <w:t xml:space="preserve"> </w:t>
      </w:r>
    </w:p>
    <w:p w:rsidR="00D10996" w:rsidRPr="005810AD" w:rsidRDefault="00D10996" w:rsidP="00DB118B">
      <w:pPr>
        <w:rPr>
          <w:rFonts w:asciiTheme="majorHAnsi" w:hAnsiTheme="majorHAnsi" w:cs="Arial"/>
        </w:rPr>
      </w:pPr>
    </w:p>
    <w:tbl>
      <w:tblPr>
        <w:tblStyle w:val="TableGrid"/>
        <w:tblW w:w="10548" w:type="dxa"/>
        <w:tblLayout w:type="fixed"/>
        <w:tblCellMar>
          <w:left w:w="72" w:type="dxa"/>
          <w:right w:w="72" w:type="dxa"/>
        </w:tblCellMar>
        <w:tblLook w:val="01E0"/>
      </w:tblPr>
      <w:tblGrid>
        <w:gridCol w:w="4429"/>
        <w:gridCol w:w="857"/>
        <w:gridCol w:w="929"/>
        <w:gridCol w:w="4333"/>
      </w:tblGrid>
      <w:tr w:rsidR="00E719C4" w:rsidRPr="005810AD" w:rsidTr="002C2E22">
        <w:tc>
          <w:tcPr>
            <w:tcW w:w="10548" w:type="dxa"/>
            <w:gridSpan w:val="4"/>
            <w:vAlign w:val="center"/>
          </w:tcPr>
          <w:p w:rsidR="00E719C4" w:rsidRPr="005810AD" w:rsidRDefault="00DC286C" w:rsidP="00E719C4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810AD">
              <w:rPr>
                <w:rFonts w:asciiTheme="majorHAnsi" w:hAnsiTheme="majorHAnsi" w:cs="Arial"/>
                <w:b/>
                <w:sz w:val="28"/>
                <w:szCs w:val="28"/>
              </w:rPr>
              <w:t>Fire Spread and Emiss</w:t>
            </w:r>
            <w:r w:rsidR="002F5E67">
              <w:rPr>
                <w:rFonts w:asciiTheme="majorHAnsi" w:hAnsiTheme="majorHAnsi" w:cs="Arial"/>
                <w:b/>
                <w:sz w:val="28"/>
                <w:szCs w:val="28"/>
              </w:rPr>
              <w:t>ions Profile Predicted for May 10</w:t>
            </w:r>
            <w:r w:rsidRPr="005810AD">
              <w:rPr>
                <w:rFonts w:asciiTheme="majorHAnsi" w:hAnsiTheme="majorHAnsi" w:cs="Arial"/>
                <w:b/>
                <w:sz w:val="28"/>
                <w:szCs w:val="28"/>
              </w:rPr>
              <w:t>, 2011</w:t>
            </w:r>
          </w:p>
        </w:tc>
      </w:tr>
      <w:tr w:rsidR="00DC286C" w:rsidRPr="005810AD" w:rsidTr="002C2E22">
        <w:tc>
          <w:tcPr>
            <w:tcW w:w="5286" w:type="dxa"/>
            <w:gridSpan w:val="2"/>
            <w:vAlign w:val="center"/>
          </w:tcPr>
          <w:p w:rsidR="00DC286C" w:rsidRPr="005810AD" w:rsidRDefault="00DC286C" w:rsidP="00E719C4">
            <w:pPr>
              <w:jc w:val="center"/>
              <w:rPr>
                <w:rFonts w:asciiTheme="majorHAnsi" w:hAnsiTheme="majorHAnsi" w:cs="Arial"/>
                <w:b/>
              </w:rPr>
            </w:pPr>
            <w:r w:rsidRPr="005810AD">
              <w:rPr>
                <w:rFonts w:asciiTheme="majorHAnsi" w:hAnsiTheme="majorHAnsi" w:cs="Arial"/>
                <w:b/>
              </w:rPr>
              <w:t>Rate of Spread</w:t>
            </w:r>
          </w:p>
        </w:tc>
        <w:tc>
          <w:tcPr>
            <w:tcW w:w="5262" w:type="dxa"/>
            <w:gridSpan w:val="2"/>
            <w:vAlign w:val="center"/>
          </w:tcPr>
          <w:p w:rsidR="00DC286C" w:rsidRPr="005810AD" w:rsidRDefault="00DC286C" w:rsidP="00E719C4">
            <w:pPr>
              <w:jc w:val="center"/>
              <w:rPr>
                <w:rFonts w:asciiTheme="majorHAnsi" w:hAnsiTheme="majorHAnsi" w:cs="Arial"/>
                <w:b/>
              </w:rPr>
            </w:pPr>
            <w:r w:rsidRPr="005810AD">
              <w:rPr>
                <w:rFonts w:asciiTheme="majorHAnsi" w:hAnsiTheme="majorHAnsi" w:cs="Arial"/>
                <w:b/>
              </w:rPr>
              <w:t>PM</w:t>
            </w:r>
            <w:r w:rsidRPr="005810AD">
              <w:rPr>
                <w:rFonts w:asciiTheme="majorHAnsi" w:hAnsiTheme="majorHAnsi" w:cs="Arial"/>
                <w:b/>
                <w:vertAlign w:val="subscript"/>
              </w:rPr>
              <w:t>2.5</w:t>
            </w:r>
            <w:r w:rsidRPr="005810AD">
              <w:rPr>
                <w:rFonts w:asciiTheme="majorHAnsi" w:hAnsiTheme="majorHAnsi" w:cs="Arial"/>
                <w:b/>
              </w:rPr>
              <w:t xml:space="preserve"> Hourly Emissions</w:t>
            </w:r>
          </w:p>
        </w:tc>
      </w:tr>
      <w:tr w:rsidR="00DC286C" w:rsidRPr="005810AD" w:rsidTr="002C2E22">
        <w:tc>
          <w:tcPr>
            <w:tcW w:w="5286" w:type="dxa"/>
            <w:gridSpan w:val="2"/>
            <w:vAlign w:val="center"/>
          </w:tcPr>
          <w:p w:rsidR="00DC286C" w:rsidRPr="005810AD" w:rsidRDefault="00F23626" w:rsidP="00E719C4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3200400" cy="2286000"/>
                  <wp:effectExtent l="19050" t="0" r="0" b="0"/>
                  <wp:docPr id="4" name="Picture 3" descr="Spread by Hr2300 on 0508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read by Hr2300 on 05081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2" w:type="dxa"/>
            <w:gridSpan w:val="2"/>
            <w:vAlign w:val="center"/>
          </w:tcPr>
          <w:p w:rsidR="00DC286C" w:rsidRPr="005810AD" w:rsidRDefault="00F23626" w:rsidP="00E719C4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3246755" cy="1709420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6755" cy="1709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9C4" w:rsidRPr="005810AD" w:rsidTr="002C2E22">
        <w:tc>
          <w:tcPr>
            <w:tcW w:w="5286" w:type="dxa"/>
            <w:gridSpan w:val="2"/>
            <w:vAlign w:val="center"/>
          </w:tcPr>
          <w:p w:rsidR="00E719C4" w:rsidRPr="005810AD" w:rsidRDefault="00E719C4" w:rsidP="00F2362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5810AD">
              <w:rPr>
                <w:rFonts w:asciiTheme="majorHAnsi" w:hAnsiTheme="majorHAnsi" w:cs="Arial"/>
                <w:sz w:val="22"/>
                <w:szCs w:val="22"/>
              </w:rPr>
              <w:t xml:space="preserve">The </w:t>
            </w:r>
            <w:r w:rsidR="00DC286C" w:rsidRPr="005810AD">
              <w:rPr>
                <w:rFonts w:asciiTheme="majorHAnsi" w:hAnsiTheme="majorHAnsi" w:cs="Arial"/>
                <w:sz w:val="22"/>
                <w:szCs w:val="22"/>
              </w:rPr>
              <w:t xml:space="preserve">gray </w:t>
            </w:r>
            <w:r w:rsidR="00F23626">
              <w:rPr>
                <w:rFonts w:asciiTheme="majorHAnsi" w:hAnsiTheme="majorHAnsi" w:cs="Arial"/>
                <w:sz w:val="22"/>
                <w:szCs w:val="22"/>
              </w:rPr>
              <w:t xml:space="preserve">polygon </w:t>
            </w:r>
            <w:r w:rsidR="00C95DC9">
              <w:rPr>
                <w:rFonts w:asciiTheme="majorHAnsi" w:hAnsiTheme="majorHAnsi" w:cs="Arial"/>
                <w:sz w:val="22"/>
                <w:szCs w:val="22"/>
              </w:rPr>
              <w:t xml:space="preserve">above </w:t>
            </w:r>
            <w:r w:rsidR="00DC286C" w:rsidRPr="005810AD">
              <w:rPr>
                <w:rFonts w:asciiTheme="majorHAnsi" w:hAnsiTheme="majorHAnsi" w:cs="Arial"/>
                <w:sz w:val="22"/>
                <w:szCs w:val="22"/>
              </w:rPr>
              <w:t xml:space="preserve">shows the </w:t>
            </w:r>
            <w:r w:rsidR="00F23626">
              <w:rPr>
                <w:rFonts w:asciiTheme="majorHAnsi" w:hAnsiTheme="majorHAnsi" w:cs="Arial"/>
                <w:sz w:val="22"/>
                <w:szCs w:val="22"/>
              </w:rPr>
              <w:t xml:space="preserve">approximate </w:t>
            </w:r>
            <w:r w:rsidR="00C95DC9">
              <w:rPr>
                <w:rFonts w:asciiTheme="majorHAnsi" w:hAnsiTheme="majorHAnsi" w:cs="Arial"/>
                <w:sz w:val="22"/>
                <w:szCs w:val="22"/>
              </w:rPr>
              <w:t xml:space="preserve">total </w:t>
            </w:r>
            <w:r w:rsidR="00F23626">
              <w:rPr>
                <w:rFonts w:asciiTheme="majorHAnsi" w:hAnsiTheme="majorHAnsi" w:cs="Arial"/>
                <w:sz w:val="22"/>
                <w:szCs w:val="22"/>
              </w:rPr>
              <w:t>area burned by May 8</w:t>
            </w:r>
            <w:r w:rsidR="00DC286C" w:rsidRPr="005810AD">
              <w:rPr>
                <w:rFonts w:asciiTheme="majorHAnsi" w:hAnsiTheme="majorHAnsi" w:cs="Arial"/>
                <w:sz w:val="22"/>
                <w:szCs w:val="22"/>
              </w:rPr>
              <w:t xml:space="preserve"> (</w:t>
            </w:r>
            <w:r w:rsidR="00F23626">
              <w:rPr>
                <w:rFonts w:asciiTheme="majorHAnsi" w:hAnsiTheme="majorHAnsi" w:cs="Arial"/>
                <w:sz w:val="22"/>
                <w:szCs w:val="22"/>
              </w:rPr>
              <w:t>54,488</w:t>
            </w:r>
            <w:r w:rsidR="00EC6A9C" w:rsidRPr="005810AD">
              <w:rPr>
                <w:rFonts w:asciiTheme="majorHAnsi" w:hAnsiTheme="majorHAnsi" w:cs="Arial"/>
                <w:sz w:val="22"/>
                <w:szCs w:val="22"/>
              </w:rPr>
              <w:t xml:space="preserve"> blackened</w:t>
            </w:r>
            <w:r w:rsidR="00456BEE">
              <w:rPr>
                <w:rFonts w:asciiTheme="majorHAnsi" w:hAnsiTheme="majorHAnsi" w:cs="Arial"/>
                <w:sz w:val="22"/>
                <w:szCs w:val="22"/>
              </w:rPr>
              <w:t xml:space="preserve"> acres)</w:t>
            </w:r>
            <w:r w:rsidRPr="005810AD">
              <w:rPr>
                <w:rFonts w:asciiTheme="majorHAnsi" w:hAnsiTheme="majorHAnsi" w:cs="Arial"/>
                <w:sz w:val="22"/>
                <w:szCs w:val="22"/>
              </w:rPr>
              <w:t xml:space="preserve">.  </w:t>
            </w:r>
            <w:r w:rsidR="00456BEE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="00DD1446">
              <w:rPr>
                <w:rFonts w:asciiTheme="majorHAnsi" w:hAnsiTheme="majorHAnsi" w:cs="Arial"/>
                <w:sz w:val="22"/>
                <w:szCs w:val="22"/>
              </w:rPr>
              <w:t xml:space="preserve">ased upon the rate of spread </w:t>
            </w:r>
            <w:proofErr w:type="gramStart"/>
            <w:r w:rsidR="00DD1446">
              <w:rPr>
                <w:rFonts w:asciiTheme="majorHAnsi" w:hAnsiTheme="majorHAnsi" w:cs="Arial"/>
                <w:sz w:val="22"/>
                <w:szCs w:val="22"/>
              </w:rPr>
              <w:t>between</w:t>
            </w:r>
            <w:r w:rsidR="00456BEE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DD1446">
              <w:rPr>
                <w:rFonts w:asciiTheme="majorHAnsi" w:hAnsiTheme="majorHAnsi" w:cs="Arial"/>
                <w:sz w:val="22"/>
                <w:szCs w:val="22"/>
              </w:rPr>
              <w:t>May 7 – 8</w:t>
            </w:r>
            <w:proofErr w:type="gramEnd"/>
            <w:r w:rsidR="00DD1446">
              <w:rPr>
                <w:rFonts w:asciiTheme="majorHAnsi" w:hAnsiTheme="majorHAnsi" w:cs="Arial"/>
                <w:sz w:val="22"/>
                <w:szCs w:val="22"/>
              </w:rPr>
              <w:t xml:space="preserve"> it has been assumed the rate of </w:t>
            </w:r>
            <w:r w:rsidR="00456BEE">
              <w:rPr>
                <w:rFonts w:asciiTheme="majorHAnsi" w:hAnsiTheme="majorHAnsi" w:cs="Arial"/>
                <w:sz w:val="22"/>
                <w:szCs w:val="22"/>
              </w:rPr>
              <w:t xml:space="preserve">active fire </w:t>
            </w:r>
            <w:r w:rsidR="00DD1446">
              <w:rPr>
                <w:rFonts w:asciiTheme="majorHAnsi" w:hAnsiTheme="majorHAnsi" w:cs="Arial"/>
                <w:sz w:val="22"/>
                <w:szCs w:val="22"/>
              </w:rPr>
              <w:t xml:space="preserve">spread will continue at approximately </w:t>
            </w:r>
            <w:r w:rsidR="00F23626">
              <w:rPr>
                <w:rFonts w:asciiTheme="majorHAnsi" w:hAnsiTheme="majorHAnsi" w:cs="Arial"/>
                <w:sz w:val="22"/>
                <w:szCs w:val="22"/>
              </w:rPr>
              <w:t>533</w:t>
            </w:r>
            <w:r w:rsidR="00DD1446">
              <w:rPr>
                <w:rFonts w:asciiTheme="majorHAnsi" w:hAnsiTheme="majorHAnsi" w:cs="Arial"/>
                <w:sz w:val="22"/>
                <w:szCs w:val="22"/>
              </w:rPr>
              <w:t xml:space="preserve"> acres per hour.</w:t>
            </w:r>
          </w:p>
        </w:tc>
        <w:tc>
          <w:tcPr>
            <w:tcW w:w="5262" w:type="dxa"/>
            <w:gridSpan w:val="2"/>
            <w:vAlign w:val="center"/>
          </w:tcPr>
          <w:p w:rsidR="00E719C4" w:rsidRPr="005810AD" w:rsidRDefault="00441C41" w:rsidP="00E719C4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5810AD">
              <w:rPr>
                <w:rFonts w:asciiTheme="majorHAnsi" w:hAnsiTheme="majorHAnsi" w:cs="Arial"/>
                <w:sz w:val="22"/>
                <w:szCs w:val="22"/>
              </w:rPr>
              <w:t>The average consumption was estimated to be 13 tons per acre, and this includes 3.6 tons per acre of duff consumption.  Smoldering (drifted PM</w:t>
            </w:r>
            <w:r w:rsidRPr="005810AD">
              <w:rPr>
                <w:rFonts w:asciiTheme="majorHAnsi" w:hAnsiTheme="majorHAnsi" w:cs="Arial"/>
                <w:sz w:val="22"/>
                <w:szCs w:val="22"/>
                <w:vertAlign w:val="subscript"/>
              </w:rPr>
              <w:t>2.5</w:t>
            </w:r>
            <w:r w:rsidRPr="005810AD">
              <w:rPr>
                <w:rFonts w:asciiTheme="majorHAnsi" w:hAnsiTheme="majorHAnsi" w:cs="Arial"/>
                <w:sz w:val="22"/>
                <w:szCs w:val="22"/>
              </w:rPr>
              <w:t>) emissions are predicted to occur throughout the nighttime.  Atmospheric stability is predicted to be moderately unstable until about 1800.</w:t>
            </w:r>
          </w:p>
        </w:tc>
      </w:tr>
      <w:tr w:rsidR="00441C41" w:rsidRPr="005810AD" w:rsidTr="002C2E22">
        <w:tc>
          <w:tcPr>
            <w:tcW w:w="10548" w:type="dxa"/>
            <w:gridSpan w:val="4"/>
          </w:tcPr>
          <w:p w:rsidR="00441C41" w:rsidRPr="005810AD" w:rsidRDefault="002C2E22" w:rsidP="00441C41">
            <w:pPr>
              <w:jc w:val="center"/>
              <w:rPr>
                <w:rFonts w:asciiTheme="majorHAnsi" w:hAnsiTheme="majorHAnsi" w:cs="Arial"/>
              </w:rPr>
            </w:pPr>
            <w:r w:rsidRPr="005810AD">
              <w:rPr>
                <w:rFonts w:asciiTheme="majorHAnsi" w:hAnsiTheme="majorHAnsi" w:cs="Arial"/>
                <w:b/>
              </w:rPr>
              <w:br/>
            </w:r>
            <w:r w:rsidR="00441C41" w:rsidRPr="005810AD">
              <w:rPr>
                <w:rFonts w:asciiTheme="majorHAnsi" w:hAnsiTheme="majorHAnsi" w:cs="Arial"/>
                <w:b/>
              </w:rPr>
              <w:t xml:space="preserve">Air </w:t>
            </w:r>
            <w:r w:rsidR="00F23626">
              <w:rPr>
                <w:rFonts w:asciiTheme="majorHAnsi" w:hAnsiTheme="majorHAnsi" w:cs="Arial"/>
                <w:b/>
              </w:rPr>
              <w:t>Quality Index Forecast for May 10</w:t>
            </w:r>
            <w:r w:rsidR="00441C41" w:rsidRPr="005810AD">
              <w:rPr>
                <w:rFonts w:asciiTheme="majorHAnsi" w:hAnsiTheme="majorHAnsi" w:cs="Arial"/>
                <w:b/>
              </w:rPr>
              <w:t>, 2011</w:t>
            </w:r>
          </w:p>
        </w:tc>
      </w:tr>
      <w:tr w:rsidR="00441C41" w:rsidRPr="005810AD" w:rsidTr="002C2E22">
        <w:tc>
          <w:tcPr>
            <w:tcW w:w="4429" w:type="dxa"/>
            <w:tcBorders>
              <w:right w:val="nil"/>
            </w:tcBorders>
            <w:vAlign w:val="center"/>
          </w:tcPr>
          <w:p w:rsidR="00441C41" w:rsidRPr="005810AD" w:rsidRDefault="00DD1446" w:rsidP="002C2E2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noProof/>
              </w:rPr>
              <w:t>None available</w:t>
            </w:r>
          </w:p>
        </w:tc>
        <w:tc>
          <w:tcPr>
            <w:tcW w:w="1786" w:type="dxa"/>
            <w:gridSpan w:val="2"/>
            <w:tcBorders>
              <w:left w:val="nil"/>
            </w:tcBorders>
            <w:vAlign w:val="center"/>
          </w:tcPr>
          <w:p w:rsidR="00441C41" w:rsidRPr="005810AD" w:rsidRDefault="002C2E22" w:rsidP="002C2E22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810AD">
              <w:rPr>
                <w:rFonts w:asciiTheme="majorHAnsi" w:hAnsiTheme="majorHAnsi" w:cs="Arial"/>
                <w:b/>
                <w:noProof/>
                <w:sz w:val="22"/>
                <w:szCs w:val="22"/>
              </w:rPr>
              <w:t>AQI</w:t>
            </w:r>
            <w:r w:rsidRPr="005810AD">
              <w:rPr>
                <w:rFonts w:asciiTheme="majorHAnsi" w:hAnsiTheme="majorHAnsi" w:cs="Arial"/>
                <w:b/>
                <w:noProof/>
                <w:sz w:val="22"/>
                <w:szCs w:val="22"/>
              </w:rPr>
              <w:br/>
            </w:r>
            <w:r w:rsidRPr="005810AD">
              <w:rPr>
                <w:rFonts w:asciiTheme="majorHAnsi" w:hAnsiTheme="majorHAnsi" w:cs="Arial"/>
                <w:b/>
                <w:noProof/>
                <w:sz w:val="22"/>
                <w:szCs w:val="22"/>
              </w:rPr>
              <w:drawing>
                <wp:inline distT="0" distB="0" distL="0" distR="0">
                  <wp:extent cx="1006047" cy="1225826"/>
                  <wp:effectExtent l="19050" t="0" r="3603" b="0"/>
                  <wp:docPr id="16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179" cy="1235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3" w:type="dxa"/>
            <w:vAlign w:val="center"/>
          </w:tcPr>
          <w:p w:rsidR="00441C41" w:rsidRPr="005810AD" w:rsidRDefault="007A1530" w:rsidP="007A153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5810AD">
              <w:rPr>
                <w:rFonts w:asciiTheme="majorHAnsi" w:hAnsiTheme="majorHAnsi" w:cs="Arial"/>
                <w:sz w:val="22"/>
                <w:szCs w:val="22"/>
              </w:rPr>
              <w:t xml:space="preserve">State air regulatory agencies provide forecasts using the </w:t>
            </w:r>
            <w:hyperlink r:id="rId10" w:history="1">
              <w:r w:rsidRPr="005810AD">
                <w:rPr>
                  <w:rStyle w:val="Hyperlink"/>
                  <w:rFonts w:asciiTheme="majorHAnsi" w:hAnsiTheme="majorHAnsi" w:cs="Arial"/>
                  <w:sz w:val="22"/>
                  <w:szCs w:val="22"/>
                </w:rPr>
                <w:t>Air Quality</w:t>
              </w:r>
              <w:r w:rsidRPr="005810AD">
                <w:rPr>
                  <w:rStyle w:val="Hyperlink"/>
                  <w:rFonts w:asciiTheme="majorHAnsi" w:hAnsiTheme="majorHAnsi" w:cs="Arial"/>
                  <w:sz w:val="22"/>
                  <w:szCs w:val="22"/>
                </w:rPr>
                <w:t xml:space="preserve"> </w:t>
              </w:r>
              <w:r w:rsidRPr="005810AD">
                <w:rPr>
                  <w:rStyle w:val="Hyperlink"/>
                  <w:rFonts w:asciiTheme="majorHAnsi" w:hAnsiTheme="majorHAnsi" w:cs="Arial"/>
                  <w:sz w:val="22"/>
                  <w:szCs w:val="22"/>
                </w:rPr>
                <w:t>Index (AQI)</w:t>
              </w:r>
            </w:hyperlink>
            <w:r w:rsidRPr="005810AD">
              <w:rPr>
                <w:rFonts w:asciiTheme="majorHAnsi" w:hAnsiTheme="majorHAnsi" w:cs="Arial"/>
                <w:sz w:val="22"/>
                <w:szCs w:val="22"/>
              </w:rPr>
              <w:t>.  The colors of the AQI correspond to different pollution concentrations and related health warnings.</w:t>
            </w:r>
          </w:p>
          <w:p w:rsidR="007A1530" w:rsidRPr="005810AD" w:rsidRDefault="007A1530" w:rsidP="007A1530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7A1530" w:rsidRPr="005810AD" w:rsidRDefault="007A1530" w:rsidP="007A1530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E719C4" w:rsidRPr="005810AD" w:rsidRDefault="00E719C4" w:rsidP="00DB118B">
      <w:pPr>
        <w:rPr>
          <w:rFonts w:asciiTheme="majorHAnsi" w:hAnsiTheme="majorHAnsi" w:cs="Arial"/>
        </w:rPr>
      </w:pPr>
    </w:p>
    <w:p w:rsidR="00E719C4" w:rsidRPr="005810AD" w:rsidRDefault="00E719C4" w:rsidP="00DB118B">
      <w:pPr>
        <w:rPr>
          <w:rFonts w:asciiTheme="majorHAnsi" w:hAnsiTheme="majorHAnsi" w:cs="Arial"/>
        </w:rPr>
      </w:pPr>
    </w:p>
    <w:p w:rsidR="000E3700" w:rsidRPr="005810AD" w:rsidRDefault="000E3700" w:rsidP="00DB118B">
      <w:pPr>
        <w:rPr>
          <w:rFonts w:asciiTheme="majorHAnsi" w:hAnsiTheme="majorHAnsi" w:cs="Arial"/>
        </w:rPr>
      </w:pPr>
    </w:p>
    <w:p w:rsidR="000E3700" w:rsidRPr="005810AD" w:rsidRDefault="000E3700" w:rsidP="00DB118B">
      <w:pPr>
        <w:rPr>
          <w:rFonts w:asciiTheme="majorHAnsi" w:hAnsiTheme="majorHAnsi" w:cs="Arial"/>
        </w:rPr>
      </w:pPr>
    </w:p>
    <w:p w:rsidR="000E3700" w:rsidRPr="005810AD" w:rsidRDefault="000E3700" w:rsidP="00DB118B">
      <w:pPr>
        <w:rPr>
          <w:rFonts w:asciiTheme="majorHAnsi" w:hAnsiTheme="majorHAnsi" w:cs="Arial"/>
        </w:rPr>
      </w:pPr>
    </w:p>
    <w:p w:rsidR="000E3700" w:rsidRPr="005810AD" w:rsidRDefault="000E3700" w:rsidP="00DB118B">
      <w:pPr>
        <w:rPr>
          <w:rFonts w:asciiTheme="majorHAnsi" w:hAnsiTheme="majorHAnsi" w:cs="Arial"/>
        </w:rPr>
      </w:pPr>
    </w:p>
    <w:p w:rsidR="000E3700" w:rsidRPr="005810AD" w:rsidRDefault="000E3700" w:rsidP="00DB118B">
      <w:pPr>
        <w:rPr>
          <w:rFonts w:asciiTheme="majorHAnsi" w:hAnsiTheme="majorHAnsi" w:cs="Arial"/>
        </w:rPr>
      </w:pPr>
    </w:p>
    <w:p w:rsidR="00B81612" w:rsidRPr="005810AD" w:rsidRDefault="00B81612" w:rsidP="009A4B8B">
      <w:pPr>
        <w:rPr>
          <w:rFonts w:asciiTheme="majorHAnsi" w:hAnsiTheme="majorHAnsi"/>
        </w:rPr>
      </w:pPr>
    </w:p>
    <w:p w:rsidR="00DC286C" w:rsidRDefault="00B81612" w:rsidP="00DB118B">
      <w:pPr>
        <w:rPr>
          <w:rFonts w:asciiTheme="majorHAnsi" w:hAnsiTheme="majorHAnsi" w:cs="Arial"/>
        </w:rPr>
      </w:pPr>
      <w:r w:rsidRPr="005810AD">
        <w:rPr>
          <w:rFonts w:asciiTheme="majorHAnsi" w:hAnsiTheme="majorHAnsi" w:cs="Arial"/>
        </w:rPr>
        <w:t xml:space="preserve">           </w:t>
      </w:r>
    </w:p>
    <w:p w:rsidR="008858F9" w:rsidRPr="005810AD" w:rsidRDefault="008858F9" w:rsidP="00DB118B">
      <w:pPr>
        <w:rPr>
          <w:rFonts w:asciiTheme="majorHAnsi" w:hAnsiTheme="majorHAnsi" w:cs="Arial"/>
        </w:rPr>
      </w:pPr>
    </w:p>
    <w:p w:rsidR="00ED19E6" w:rsidRPr="005810AD" w:rsidRDefault="00ED19E6" w:rsidP="00DB118B">
      <w:pPr>
        <w:rPr>
          <w:rFonts w:asciiTheme="majorHAnsi" w:hAnsiTheme="majorHAnsi" w:cs="Arial"/>
        </w:rPr>
      </w:pPr>
    </w:p>
    <w:tbl>
      <w:tblPr>
        <w:tblStyle w:val="TableGrid"/>
        <w:tblW w:w="10801" w:type="dxa"/>
        <w:tblLook w:val="01E0"/>
      </w:tblPr>
      <w:tblGrid>
        <w:gridCol w:w="4397"/>
        <w:gridCol w:w="4248"/>
        <w:gridCol w:w="2156"/>
      </w:tblGrid>
      <w:tr w:rsidR="00EF1410" w:rsidRPr="005810AD">
        <w:tc>
          <w:tcPr>
            <w:tcW w:w="10801" w:type="dxa"/>
            <w:gridSpan w:val="3"/>
            <w:vAlign w:val="center"/>
          </w:tcPr>
          <w:p w:rsidR="00EF1410" w:rsidRPr="005810AD" w:rsidRDefault="00EF1410" w:rsidP="00035C10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810AD">
              <w:rPr>
                <w:rFonts w:asciiTheme="majorHAnsi" w:hAnsiTheme="majorHAnsi" w:cs="Arial"/>
                <w:b/>
                <w:sz w:val="28"/>
                <w:szCs w:val="28"/>
              </w:rPr>
              <w:lastRenderedPageBreak/>
              <w:t xml:space="preserve">Forecasted Smoke Dispersion and Air Quality Impacts for </w:t>
            </w:r>
            <w:r w:rsidR="008F694E">
              <w:rPr>
                <w:rFonts w:asciiTheme="majorHAnsi" w:hAnsiTheme="majorHAnsi" w:cs="Arial"/>
                <w:b/>
                <w:sz w:val="28"/>
                <w:szCs w:val="28"/>
              </w:rPr>
              <w:t>May 10</w:t>
            </w:r>
            <w:r w:rsidR="004901D7" w:rsidRPr="005810AD">
              <w:rPr>
                <w:rFonts w:asciiTheme="majorHAnsi" w:hAnsiTheme="majorHAnsi" w:cs="Arial"/>
                <w:b/>
                <w:sz w:val="28"/>
                <w:szCs w:val="28"/>
              </w:rPr>
              <w:t>, 20</w:t>
            </w:r>
            <w:r w:rsidR="00035C10" w:rsidRPr="005810AD">
              <w:rPr>
                <w:rFonts w:asciiTheme="majorHAnsi" w:hAnsiTheme="majorHAnsi" w:cs="Arial"/>
                <w:b/>
                <w:sz w:val="28"/>
                <w:szCs w:val="28"/>
              </w:rPr>
              <w:t>11</w:t>
            </w:r>
            <w:r w:rsidR="008858F9">
              <w:rPr>
                <w:rFonts w:asciiTheme="majorHAnsi" w:hAnsiTheme="majorHAnsi" w:cs="Arial"/>
                <w:b/>
                <w:sz w:val="28"/>
                <w:szCs w:val="28"/>
              </w:rPr>
              <w:br/>
            </w:r>
            <w:r w:rsidR="008858F9">
              <w:rPr>
                <w:rFonts w:ascii="Cambria" w:hAnsi="Cambria" w:cs="Arial"/>
                <w:b/>
                <w:sz w:val="20"/>
                <w:szCs w:val="20"/>
              </w:rPr>
              <w:t>(HYSPLIT Meteoro</w:t>
            </w:r>
            <w:r w:rsidR="00BD2C3D">
              <w:rPr>
                <w:rFonts w:ascii="Cambria" w:hAnsi="Cambria" w:cs="Arial"/>
                <w:b/>
                <w:sz w:val="20"/>
                <w:szCs w:val="20"/>
              </w:rPr>
              <w:t>logical File:  May 9, 2011 UTC12</w:t>
            </w:r>
            <w:r w:rsidR="008858F9">
              <w:rPr>
                <w:rFonts w:ascii="Cambria" w:hAnsi="Cambria" w:cs="Arial"/>
                <w:b/>
                <w:sz w:val="20"/>
                <w:szCs w:val="20"/>
              </w:rPr>
              <w:t>)</w:t>
            </w:r>
          </w:p>
        </w:tc>
      </w:tr>
      <w:tr w:rsidR="00EF1410" w:rsidRPr="005810AD" w:rsidTr="005810AD">
        <w:tc>
          <w:tcPr>
            <w:tcW w:w="4397" w:type="dxa"/>
            <w:vAlign w:val="center"/>
          </w:tcPr>
          <w:p w:rsidR="00EF1410" w:rsidRPr="005810AD" w:rsidRDefault="004C06B0" w:rsidP="005C790A">
            <w:pPr>
              <w:jc w:val="center"/>
              <w:rPr>
                <w:rFonts w:asciiTheme="majorHAnsi" w:hAnsiTheme="majorHAnsi" w:cs="Arial"/>
                <w:b/>
              </w:rPr>
            </w:pPr>
            <w:r w:rsidRPr="005810AD">
              <w:rPr>
                <w:rFonts w:asciiTheme="majorHAnsi" w:hAnsiTheme="majorHAnsi" w:cs="Arial"/>
                <w:b/>
              </w:rPr>
              <w:t xml:space="preserve">Daily </w:t>
            </w:r>
            <w:r w:rsidR="00035C10" w:rsidRPr="005810AD">
              <w:rPr>
                <w:rFonts w:asciiTheme="majorHAnsi" w:hAnsiTheme="majorHAnsi" w:cs="Arial"/>
                <w:b/>
              </w:rPr>
              <w:t xml:space="preserve">PC HYSPLIT </w:t>
            </w:r>
            <w:r w:rsidRPr="005810AD">
              <w:rPr>
                <w:rFonts w:asciiTheme="majorHAnsi" w:hAnsiTheme="majorHAnsi" w:cs="Arial"/>
                <w:b/>
              </w:rPr>
              <w:t>Smoke D</w:t>
            </w:r>
            <w:r w:rsidR="005C790A" w:rsidRPr="005810AD">
              <w:rPr>
                <w:rFonts w:asciiTheme="majorHAnsi" w:hAnsiTheme="majorHAnsi" w:cs="Arial"/>
                <w:b/>
              </w:rPr>
              <w:t>ispersion F</w:t>
            </w:r>
            <w:r w:rsidR="00EF1410" w:rsidRPr="005810AD">
              <w:rPr>
                <w:rFonts w:asciiTheme="majorHAnsi" w:hAnsiTheme="majorHAnsi" w:cs="Arial"/>
                <w:b/>
              </w:rPr>
              <w:t>orecast</w:t>
            </w:r>
            <w:r w:rsidR="005C790A" w:rsidRPr="005810AD">
              <w:rPr>
                <w:rFonts w:asciiTheme="majorHAnsi" w:hAnsiTheme="majorHAnsi" w:cs="Arial"/>
                <w:b/>
              </w:rPr>
              <w:t xml:space="preserve"> Results</w:t>
            </w:r>
          </w:p>
        </w:tc>
        <w:tc>
          <w:tcPr>
            <w:tcW w:w="4248" w:type="dxa"/>
            <w:tcBorders>
              <w:bottom w:val="single" w:sz="4" w:space="0" w:color="auto"/>
              <w:right w:val="nil"/>
            </w:tcBorders>
            <w:vAlign w:val="center"/>
          </w:tcPr>
          <w:p w:rsidR="00EF1410" w:rsidRPr="005810AD" w:rsidRDefault="005C790A" w:rsidP="00035C10">
            <w:pPr>
              <w:jc w:val="center"/>
              <w:rPr>
                <w:rFonts w:asciiTheme="majorHAnsi" w:hAnsiTheme="majorHAnsi" w:cs="Arial"/>
                <w:b/>
              </w:rPr>
            </w:pPr>
            <w:r w:rsidRPr="005810AD">
              <w:rPr>
                <w:rFonts w:asciiTheme="majorHAnsi" w:hAnsiTheme="majorHAnsi" w:cs="Arial"/>
                <w:b/>
              </w:rPr>
              <w:t>Hourly PC HYSPLIT Smoke Dispersion Forecast Results</w:t>
            </w:r>
          </w:p>
        </w:tc>
        <w:tc>
          <w:tcPr>
            <w:tcW w:w="2156" w:type="dxa"/>
            <w:tcBorders>
              <w:left w:val="nil"/>
            </w:tcBorders>
            <w:vAlign w:val="center"/>
          </w:tcPr>
          <w:p w:rsidR="00EF1410" w:rsidRPr="005810AD" w:rsidRDefault="00EF1410" w:rsidP="00AE01E0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EF1410" w:rsidRPr="005810AD" w:rsidTr="005810AD">
        <w:tc>
          <w:tcPr>
            <w:tcW w:w="4397" w:type="dxa"/>
            <w:vAlign w:val="center"/>
          </w:tcPr>
          <w:p w:rsidR="00EF1410" w:rsidRPr="005810AD" w:rsidRDefault="00C95DC9" w:rsidP="00C95DC9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2020956" cy="2020956"/>
                  <wp:effectExtent l="19050" t="0" r="0" b="0"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1225" cy="2021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8" w:type="dxa"/>
            <w:tcBorders>
              <w:bottom w:val="single" w:sz="4" w:space="0" w:color="auto"/>
              <w:right w:val="nil"/>
            </w:tcBorders>
            <w:vAlign w:val="center"/>
          </w:tcPr>
          <w:p w:rsidR="00EF1410" w:rsidRPr="005810AD" w:rsidRDefault="008F694E" w:rsidP="004A75CB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1881505" cy="2047240"/>
                  <wp:effectExtent l="19050" t="0" r="4445" b="0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505" cy="2047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6" w:type="dxa"/>
            <w:tcBorders>
              <w:left w:val="nil"/>
            </w:tcBorders>
            <w:vAlign w:val="center"/>
          </w:tcPr>
          <w:p w:rsidR="00EF1410" w:rsidRPr="005810AD" w:rsidRDefault="005810AD" w:rsidP="005810AD">
            <w:pPr>
              <w:jc w:val="center"/>
              <w:rPr>
                <w:rFonts w:asciiTheme="majorHAnsi" w:hAnsiTheme="majorHAnsi" w:cs="Arial"/>
                <w:b/>
              </w:rPr>
            </w:pPr>
            <w:r w:rsidRPr="005810AD">
              <w:rPr>
                <w:rFonts w:asciiTheme="majorHAnsi" w:hAnsiTheme="majorHAnsi" w:cs="Arial"/>
                <w:b/>
              </w:rPr>
              <w:t>Hourly AQI</w:t>
            </w:r>
          </w:p>
          <w:tbl>
            <w:tblPr>
              <w:tblW w:w="1760" w:type="dxa"/>
              <w:tblInd w:w="170" w:type="dxa"/>
              <w:tblLook w:val="04A0"/>
            </w:tblPr>
            <w:tblGrid>
              <w:gridCol w:w="1760"/>
            </w:tblGrid>
            <w:tr w:rsidR="005810AD" w:rsidRPr="005810AD" w:rsidTr="006C1DC1">
              <w:trPr>
                <w:trHeight w:val="300"/>
              </w:trPr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0AD" w:rsidRPr="005810AD" w:rsidRDefault="005810AD" w:rsidP="006C1DC1">
                  <w:pPr>
                    <w:jc w:val="center"/>
                    <w:rPr>
                      <w:rFonts w:asciiTheme="majorHAnsi" w:hAnsiTheme="majorHAns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810AD">
                    <w:rPr>
                      <w:rFonts w:asciiTheme="majorHAnsi" w:hAnsiTheme="majorHAnsi" w:cs="Calibri"/>
                      <w:b/>
                      <w:bCs/>
                      <w:color w:val="000000"/>
                      <w:sz w:val="22"/>
                      <w:szCs w:val="22"/>
                    </w:rPr>
                    <w:t>Good</w:t>
                  </w:r>
                </w:p>
              </w:tc>
            </w:tr>
            <w:tr w:rsidR="005810AD" w:rsidRPr="005810AD" w:rsidTr="006C1DC1">
              <w:trPr>
                <w:trHeight w:val="300"/>
              </w:trPr>
              <w:tc>
                <w:tcPr>
                  <w:tcW w:w="1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75DBFF"/>
                  <w:noWrap/>
                  <w:vAlign w:val="center"/>
                  <w:hideMark/>
                </w:tcPr>
                <w:p w:rsidR="005810AD" w:rsidRPr="005810AD" w:rsidRDefault="005810AD" w:rsidP="006C1DC1">
                  <w:pPr>
                    <w:jc w:val="center"/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</w:rPr>
                  </w:pPr>
                  <w:r w:rsidRPr="005810AD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</w:rPr>
                    <w:t>Moderate</w:t>
                  </w:r>
                </w:p>
              </w:tc>
            </w:tr>
            <w:tr w:rsidR="005810AD" w:rsidRPr="005810AD" w:rsidTr="006C1DC1">
              <w:trPr>
                <w:trHeight w:val="600"/>
              </w:trPr>
              <w:tc>
                <w:tcPr>
                  <w:tcW w:w="1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9E113"/>
                  <w:vAlign w:val="center"/>
                  <w:hideMark/>
                </w:tcPr>
                <w:p w:rsidR="005810AD" w:rsidRPr="005810AD" w:rsidRDefault="005810AD" w:rsidP="006C1DC1">
                  <w:pPr>
                    <w:jc w:val="center"/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</w:rPr>
                  </w:pPr>
                  <w:r w:rsidRPr="005810AD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</w:rPr>
                    <w:t>Unhealthy for Sensitive People</w:t>
                  </w:r>
                </w:p>
              </w:tc>
            </w:tr>
            <w:tr w:rsidR="005810AD" w:rsidRPr="005810AD" w:rsidTr="006C1DC1">
              <w:trPr>
                <w:trHeight w:val="300"/>
              </w:trPr>
              <w:tc>
                <w:tcPr>
                  <w:tcW w:w="1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50BF9"/>
                  <w:noWrap/>
                  <w:vAlign w:val="center"/>
                  <w:hideMark/>
                </w:tcPr>
                <w:p w:rsidR="005810AD" w:rsidRPr="005810AD" w:rsidRDefault="005810AD" w:rsidP="006C1DC1">
                  <w:pPr>
                    <w:jc w:val="center"/>
                    <w:rPr>
                      <w:rFonts w:asciiTheme="majorHAnsi" w:hAnsiTheme="majorHAnsi" w:cs="Calibri"/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5810AD">
                    <w:rPr>
                      <w:rFonts w:asciiTheme="majorHAnsi" w:hAnsiTheme="majorHAnsi" w:cs="Calibri"/>
                      <w:b/>
                      <w:bCs/>
                      <w:color w:val="FFFFFF"/>
                      <w:sz w:val="22"/>
                      <w:szCs w:val="22"/>
                    </w:rPr>
                    <w:t>Unhealthy</w:t>
                  </w:r>
                </w:p>
              </w:tc>
            </w:tr>
            <w:tr w:rsidR="005810AD" w:rsidRPr="005810AD" w:rsidTr="006C1DC1">
              <w:trPr>
                <w:trHeight w:val="300"/>
              </w:trPr>
              <w:tc>
                <w:tcPr>
                  <w:tcW w:w="1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5810AD" w:rsidRPr="005810AD" w:rsidRDefault="005810AD" w:rsidP="006C1DC1">
                  <w:pPr>
                    <w:jc w:val="center"/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</w:rPr>
                  </w:pPr>
                  <w:r w:rsidRPr="005810AD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</w:rPr>
                    <w:t>Very Unhealthy</w:t>
                  </w:r>
                </w:p>
              </w:tc>
            </w:tr>
            <w:tr w:rsidR="005810AD" w:rsidRPr="005810AD" w:rsidTr="006C1DC1">
              <w:trPr>
                <w:trHeight w:val="300"/>
              </w:trPr>
              <w:tc>
                <w:tcPr>
                  <w:tcW w:w="1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5810AD" w:rsidRPr="005810AD" w:rsidRDefault="005810AD" w:rsidP="006C1DC1">
                  <w:pPr>
                    <w:jc w:val="center"/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</w:rPr>
                  </w:pPr>
                  <w:r w:rsidRPr="005810AD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</w:rPr>
                    <w:t>Hazardous</w:t>
                  </w:r>
                </w:p>
              </w:tc>
            </w:tr>
          </w:tbl>
          <w:p w:rsidR="005810AD" w:rsidRPr="005810AD" w:rsidRDefault="005810AD" w:rsidP="005810AD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5810AD" w:rsidRPr="005810AD" w:rsidTr="005810AD">
        <w:tc>
          <w:tcPr>
            <w:tcW w:w="4397" w:type="dxa"/>
            <w:vAlign w:val="center"/>
          </w:tcPr>
          <w:p w:rsidR="005810AD" w:rsidRPr="005810AD" w:rsidRDefault="005810AD" w:rsidP="00C95DC9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5810AD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The </w:t>
            </w:r>
            <w:r w:rsidR="00385D0D">
              <w:rPr>
                <w:rFonts w:asciiTheme="majorHAnsi" w:hAnsiTheme="majorHAnsi"/>
                <w:color w:val="000000"/>
                <w:sz w:val="20"/>
                <w:szCs w:val="20"/>
              </w:rPr>
              <w:t>PC HYSPLIT result above allows</w:t>
            </w:r>
            <w:r w:rsidRPr="005810AD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you to compare the results to a benchmark that reflects the 24 hour PM2.5 standard </w:t>
            </w:r>
            <w:proofErr w:type="gramStart"/>
            <w:r w:rsidRPr="005810AD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(35 </w:t>
            </w:r>
            <w:proofErr w:type="spellStart"/>
            <w:r w:rsidRPr="005810AD">
              <w:rPr>
                <w:rFonts w:asciiTheme="majorHAnsi" w:hAnsiTheme="majorHAnsi"/>
                <w:color w:val="000000"/>
                <w:sz w:val="20"/>
                <w:szCs w:val="20"/>
              </w:rPr>
              <w:t>ug</w:t>
            </w:r>
            <w:proofErr w:type="spellEnd"/>
            <w:r w:rsidRPr="005810AD">
              <w:rPr>
                <w:rFonts w:asciiTheme="majorHAnsi" w:hAnsiTheme="majorHAnsi"/>
                <w:color w:val="000000"/>
                <w:sz w:val="20"/>
                <w:szCs w:val="20"/>
              </w:rPr>
              <w:t>/m3)</w:t>
            </w:r>
            <w:proofErr w:type="gramEnd"/>
            <w:r w:rsidRPr="005810AD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.  The only color showing for this run is </w:t>
            </w:r>
            <w:r w:rsidRPr="005810AD">
              <w:rPr>
                <w:rFonts w:asciiTheme="majorHAnsi" w:hAnsiTheme="majorHAnsi"/>
                <w:color w:val="00FFFF"/>
                <w:sz w:val="20"/>
                <w:szCs w:val="20"/>
              </w:rPr>
              <w:t>Turquoise</w:t>
            </w:r>
            <w:r w:rsidRPr="005810AD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and it represents those areas that would have a 24 hour average concentration higher (including a background concentration of 10 </w:t>
            </w:r>
            <w:proofErr w:type="spellStart"/>
            <w:r w:rsidRPr="005810AD">
              <w:rPr>
                <w:rFonts w:asciiTheme="majorHAnsi" w:hAnsiTheme="majorHAnsi"/>
                <w:color w:val="000000"/>
                <w:sz w:val="20"/>
                <w:szCs w:val="20"/>
              </w:rPr>
              <w:t>ug</w:t>
            </w:r>
            <w:proofErr w:type="spellEnd"/>
            <w:r w:rsidRPr="005810AD">
              <w:rPr>
                <w:rFonts w:asciiTheme="majorHAnsi" w:hAnsiTheme="majorHAnsi"/>
                <w:color w:val="000000"/>
                <w:sz w:val="20"/>
                <w:szCs w:val="20"/>
              </w:rPr>
              <w:t>/m3</w:t>
            </w:r>
            <w:r w:rsidR="00F23626">
              <w:rPr>
                <w:rFonts w:asciiTheme="majorHAnsi" w:hAnsiTheme="majorHAnsi"/>
                <w:color w:val="000000"/>
                <w:sz w:val="20"/>
                <w:szCs w:val="20"/>
              </w:rPr>
              <w:t>) than the benchmark on May 10</w:t>
            </w:r>
            <w:r w:rsidRPr="005810AD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.   This area (within about </w:t>
            </w:r>
            <w:r w:rsidR="00C95DC9">
              <w:rPr>
                <w:rFonts w:asciiTheme="majorHAnsi" w:hAnsiTheme="majorHAnsi"/>
                <w:color w:val="000000"/>
                <w:sz w:val="20"/>
                <w:szCs w:val="20"/>
              </w:rPr>
              <w:t>38</w:t>
            </w:r>
            <w:r w:rsidRPr="005810AD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miles of the burn unit) is where unhealthy levels of fine particulates could occur and the value exceeds the daily PM</w:t>
            </w:r>
            <w:r w:rsidRPr="005810AD">
              <w:rPr>
                <w:rFonts w:asciiTheme="majorHAnsi" w:hAnsiTheme="majorHAnsi"/>
                <w:color w:val="000000"/>
                <w:sz w:val="20"/>
                <w:szCs w:val="20"/>
                <w:vertAlign w:val="subscript"/>
              </w:rPr>
              <w:t>2.5</w:t>
            </w:r>
            <w:r w:rsidRPr="005810AD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National Ambient Air Quality Standards (NAAQS).</w:t>
            </w:r>
            <w:r w:rsidR="00C95DC9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 Waycross, GA may experience fine particulate matter concentrations near the or above the NAAQS.</w:t>
            </w:r>
          </w:p>
        </w:tc>
        <w:tc>
          <w:tcPr>
            <w:tcW w:w="4248" w:type="dxa"/>
            <w:tcBorders>
              <w:right w:val="nil"/>
            </w:tcBorders>
          </w:tcPr>
          <w:p w:rsidR="005810AD" w:rsidRPr="005810AD" w:rsidRDefault="005810AD" w:rsidP="00CD04B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810AD">
              <w:rPr>
                <w:rFonts w:asciiTheme="majorHAnsi" w:hAnsiTheme="majorHAnsi" w:cs="Arial"/>
                <w:sz w:val="20"/>
                <w:szCs w:val="20"/>
              </w:rPr>
              <w:t>T</w:t>
            </w:r>
            <w:r>
              <w:rPr>
                <w:rFonts w:asciiTheme="majorHAnsi" w:hAnsiTheme="majorHAnsi" w:cs="Arial"/>
                <w:sz w:val="20"/>
                <w:szCs w:val="20"/>
              </w:rPr>
              <w:t>he PC HYSPLIT result</w:t>
            </w:r>
            <w:r w:rsidR="00385D0D">
              <w:rPr>
                <w:rFonts w:asciiTheme="majorHAnsi" w:hAnsiTheme="majorHAnsi" w:cs="Arial"/>
                <w:sz w:val="20"/>
                <w:szCs w:val="20"/>
              </w:rPr>
              <w:t xml:space="preserve"> above allows you to view a compilation of all the pr</w:t>
            </w:r>
            <w:r w:rsidR="00DD1446">
              <w:rPr>
                <w:rFonts w:asciiTheme="majorHAnsi" w:hAnsiTheme="majorHAnsi" w:cs="Arial"/>
                <w:sz w:val="20"/>
                <w:szCs w:val="20"/>
              </w:rPr>
              <w:t>edicted hour</w:t>
            </w:r>
            <w:r w:rsidR="008F694E">
              <w:rPr>
                <w:rFonts w:asciiTheme="majorHAnsi" w:hAnsiTheme="majorHAnsi" w:cs="Arial"/>
                <w:sz w:val="20"/>
                <w:szCs w:val="20"/>
              </w:rPr>
              <w:t>ly results for May 10</w:t>
            </w:r>
            <w:r w:rsidR="00385D0D">
              <w:rPr>
                <w:rFonts w:asciiTheme="majorHAnsi" w:hAnsiTheme="majorHAnsi" w:cs="Arial"/>
                <w:sz w:val="20"/>
                <w:szCs w:val="20"/>
              </w:rPr>
              <w:t xml:space="preserve">, 2011.  The Environmental Protection Agency does not have a 1-hour NAAQS or AQI values.  The 1-hour categories used in this analysis were developed by the California Resources Board.  Very Unhealthy or Hazardous fine particulate concentrations are predicted to </w:t>
            </w:r>
            <w:r w:rsidR="003F7998">
              <w:rPr>
                <w:rFonts w:asciiTheme="majorHAnsi" w:hAnsiTheme="majorHAnsi" w:cs="Arial"/>
                <w:sz w:val="20"/>
                <w:szCs w:val="20"/>
              </w:rPr>
              <w:t xml:space="preserve">occur with </w:t>
            </w:r>
            <w:r w:rsidR="008F694E">
              <w:rPr>
                <w:rFonts w:asciiTheme="majorHAnsi" w:hAnsiTheme="majorHAnsi" w:cs="Arial"/>
                <w:sz w:val="20"/>
                <w:szCs w:val="20"/>
              </w:rPr>
              <w:t>4</w:t>
            </w:r>
            <w:r w:rsidR="00385D0D">
              <w:rPr>
                <w:rFonts w:asciiTheme="majorHAnsi" w:hAnsiTheme="majorHAnsi" w:cs="Arial"/>
                <w:sz w:val="20"/>
                <w:szCs w:val="20"/>
              </w:rPr>
              <w:t>0 miles of the wildfire</w:t>
            </w:r>
            <w:r w:rsidR="008F694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CD04BB">
              <w:rPr>
                <w:rFonts w:asciiTheme="majorHAnsi" w:hAnsiTheme="majorHAnsi" w:cs="Arial"/>
                <w:sz w:val="20"/>
                <w:szCs w:val="20"/>
              </w:rPr>
              <w:t>and high concentrations of fine particulate matter may impact</w:t>
            </w:r>
            <w:r w:rsidR="008F694E">
              <w:rPr>
                <w:rFonts w:asciiTheme="majorHAnsi" w:hAnsiTheme="majorHAnsi" w:cs="Arial"/>
                <w:sz w:val="20"/>
                <w:szCs w:val="20"/>
              </w:rPr>
              <w:t xml:space="preserve"> the communities of Charlton and Waycross</w:t>
            </w:r>
            <w:r w:rsidR="00CD04BB">
              <w:rPr>
                <w:rFonts w:asciiTheme="majorHAnsi" w:hAnsiTheme="majorHAnsi" w:cs="Arial"/>
                <w:sz w:val="20"/>
                <w:szCs w:val="20"/>
              </w:rPr>
              <w:t>, GA</w:t>
            </w:r>
            <w:r w:rsidR="00385D0D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="003F7998">
              <w:rPr>
                <w:rFonts w:asciiTheme="majorHAnsi" w:hAnsiTheme="majorHAnsi" w:cs="Arial"/>
                <w:sz w:val="20"/>
                <w:szCs w:val="20"/>
              </w:rPr>
              <w:t xml:space="preserve">  Furthermore, a shift in wind directions is predicted </w:t>
            </w:r>
            <w:r w:rsidR="00CD04BB">
              <w:rPr>
                <w:rFonts w:asciiTheme="majorHAnsi" w:hAnsiTheme="majorHAnsi" w:cs="Arial"/>
                <w:sz w:val="20"/>
                <w:szCs w:val="20"/>
              </w:rPr>
              <w:t xml:space="preserve">to occur </w:t>
            </w:r>
            <w:r w:rsidR="003F7998">
              <w:rPr>
                <w:rFonts w:asciiTheme="majorHAnsi" w:hAnsiTheme="majorHAnsi" w:cs="Arial"/>
                <w:sz w:val="20"/>
                <w:szCs w:val="20"/>
              </w:rPr>
              <w:t>tomorrow.</w:t>
            </w:r>
          </w:p>
        </w:tc>
        <w:tc>
          <w:tcPr>
            <w:tcW w:w="2156" w:type="dxa"/>
            <w:tcBorders>
              <w:left w:val="nil"/>
            </w:tcBorders>
          </w:tcPr>
          <w:p w:rsidR="005810AD" w:rsidRPr="005810AD" w:rsidRDefault="005810AD" w:rsidP="005810AD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F1410" w:rsidRPr="005810AD">
        <w:tc>
          <w:tcPr>
            <w:tcW w:w="10801" w:type="dxa"/>
            <w:gridSpan w:val="3"/>
          </w:tcPr>
          <w:p w:rsidR="00385D0D" w:rsidRDefault="00385D0D" w:rsidP="00BE1E59">
            <w:pPr>
              <w:rPr>
                <w:rFonts w:asciiTheme="majorHAnsi" w:hAnsiTheme="majorHAnsi" w:cs="Arial"/>
                <w:iCs/>
              </w:rPr>
            </w:pPr>
            <w:r>
              <w:rPr>
                <w:rFonts w:asciiTheme="majorHAnsi" w:hAnsiTheme="majorHAnsi" w:cs="Arial"/>
                <w:iCs/>
              </w:rPr>
              <w:br/>
              <w:t xml:space="preserve">The results above are best viewed in Google Earth.  The file name for the 24-hour daily results (left graphic) is:  </w:t>
            </w:r>
          </w:p>
          <w:p w:rsidR="00EF1410" w:rsidRDefault="00FD223F" w:rsidP="00BE1E59">
            <w:pPr>
              <w:rPr>
                <w:rFonts w:asciiTheme="majorHAnsi" w:hAnsiTheme="majorHAnsi" w:cs="Arial"/>
                <w:iCs/>
              </w:rPr>
            </w:pPr>
            <w:r>
              <w:rPr>
                <w:rFonts w:asciiTheme="majorHAnsi" w:hAnsiTheme="majorHAnsi" w:cs="Arial"/>
                <w:iCs/>
              </w:rPr>
              <w:t>HoneyPrai</w:t>
            </w:r>
            <w:r w:rsidR="00F23626">
              <w:rPr>
                <w:rFonts w:asciiTheme="majorHAnsi" w:hAnsiTheme="majorHAnsi" w:cs="Arial"/>
                <w:iCs/>
              </w:rPr>
              <w:t>rie_May10_Daily_HYSPLITconc_0509</w:t>
            </w:r>
            <w:r>
              <w:rPr>
                <w:rFonts w:asciiTheme="majorHAnsi" w:hAnsiTheme="majorHAnsi" w:cs="Arial"/>
                <w:iCs/>
              </w:rPr>
              <w:t>_evening</w:t>
            </w:r>
            <w:r w:rsidR="00385D0D" w:rsidRPr="00385D0D">
              <w:rPr>
                <w:rFonts w:asciiTheme="majorHAnsi" w:hAnsiTheme="majorHAnsi" w:cs="Arial"/>
                <w:iCs/>
              </w:rPr>
              <w:t>.kmz</w:t>
            </w:r>
          </w:p>
          <w:p w:rsidR="00385D0D" w:rsidRDefault="00385D0D" w:rsidP="00BE1E59">
            <w:pPr>
              <w:rPr>
                <w:rFonts w:asciiTheme="majorHAnsi" w:hAnsiTheme="majorHAnsi" w:cs="Arial"/>
                <w:iCs/>
              </w:rPr>
            </w:pPr>
          </w:p>
          <w:p w:rsidR="00385D0D" w:rsidRDefault="00385D0D" w:rsidP="00BE1E59">
            <w:pPr>
              <w:rPr>
                <w:rFonts w:asciiTheme="majorHAnsi" w:hAnsiTheme="majorHAnsi" w:cs="Arial"/>
                <w:iCs/>
              </w:rPr>
            </w:pPr>
            <w:r>
              <w:rPr>
                <w:rFonts w:asciiTheme="majorHAnsi" w:hAnsiTheme="majorHAnsi" w:cs="Arial"/>
                <w:iCs/>
              </w:rPr>
              <w:t>The file name for the 1-hour results (right graphic) is:</w:t>
            </w:r>
          </w:p>
          <w:p w:rsidR="00385D0D" w:rsidRPr="00385D0D" w:rsidRDefault="00F23626" w:rsidP="00BE1E59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HoneyPrairie_May10_Hourly_HYSPLITconc_0509</w:t>
            </w:r>
            <w:r w:rsidR="00FD223F">
              <w:rPr>
                <w:rFonts w:asciiTheme="majorHAnsi" w:hAnsiTheme="majorHAnsi" w:cs="Arial"/>
                <w:sz w:val="22"/>
                <w:szCs w:val="22"/>
              </w:rPr>
              <w:t>_evening</w:t>
            </w:r>
            <w:r w:rsidR="00385D0D" w:rsidRPr="00385D0D">
              <w:rPr>
                <w:rFonts w:asciiTheme="majorHAnsi" w:hAnsiTheme="majorHAnsi" w:cs="Arial"/>
                <w:sz w:val="22"/>
                <w:szCs w:val="22"/>
              </w:rPr>
              <w:t>.kmz</w:t>
            </w:r>
          </w:p>
        </w:tc>
      </w:tr>
    </w:tbl>
    <w:p w:rsidR="00E923FB" w:rsidRPr="005810AD" w:rsidRDefault="00E923FB" w:rsidP="00DB118B">
      <w:pPr>
        <w:rPr>
          <w:rFonts w:asciiTheme="majorHAnsi" w:hAnsiTheme="majorHAnsi" w:cs="Arial"/>
          <w:b/>
          <w:sz w:val="28"/>
          <w:szCs w:val="28"/>
        </w:rPr>
      </w:pPr>
    </w:p>
    <w:p w:rsidR="00426655" w:rsidRPr="005810AD" w:rsidRDefault="00426655" w:rsidP="00DB118B">
      <w:pPr>
        <w:rPr>
          <w:rFonts w:asciiTheme="majorHAnsi" w:hAnsiTheme="majorHAnsi" w:cs="Arial"/>
          <w:b/>
          <w:sz w:val="28"/>
          <w:szCs w:val="28"/>
        </w:rPr>
      </w:pPr>
      <w:r w:rsidRPr="005810AD">
        <w:rPr>
          <w:rFonts w:asciiTheme="majorHAnsi" w:hAnsiTheme="majorHAnsi" w:cs="Arial"/>
          <w:b/>
          <w:sz w:val="28"/>
          <w:szCs w:val="28"/>
        </w:rPr>
        <w:br w:type="page"/>
      </w:r>
    </w:p>
    <w:p w:rsidR="00426655" w:rsidRPr="005810AD" w:rsidRDefault="00426655" w:rsidP="00DB118B">
      <w:pPr>
        <w:rPr>
          <w:rFonts w:asciiTheme="majorHAnsi" w:hAnsiTheme="majorHAnsi" w:cs="Arial"/>
          <w:b/>
          <w:sz w:val="28"/>
          <w:szCs w:val="28"/>
        </w:rPr>
      </w:pPr>
    </w:p>
    <w:p w:rsidR="00E32AF3" w:rsidRPr="005810AD" w:rsidRDefault="00E32AF3" w:rsidP="00DB118B">
      <w:pPr>
        <w:rPr>
          <w:rFonts w:asciiTheme="majorHAnsi" w:hAnsiTheme="majorHAnsi" w:cs="Arial"/>
        </w:rPr>
      </w:pPr>
    </w:p>
    <w:p w:rsidR="00D10996" w:rsidRPr="005810AD" w:rsidRDefault="00D10996" w:rsidP="00DB118B">
      <w:pPr>
        <w:rPr>
          <w:rFonts w:asciiTheme="majorHAnsi" w:hAnsiTheme="majorHAnsi" w:cs="Arial"/>
        </w:rPr>
      </w:pPr>
    </w:p>
    <w:p w:rsidR="008C73C1" w:rsidRPr="005810AD" w:rsidRDefault="008C73C1" w:rsidP="00DB118B">
      <w:pPr>
        <w:rPr>
          <w:rFonts w:asciiTheme="majorHAnsi" w:hAnsiTheme="majorHAnsi" w:cs="Arial"/>
        </w:rPr>
      </w:pPr>
    </w:p>
    <w:tbl>
      <w:tblPr>
        <w:tblStyle w:val="TableGrid"/>
        <w:tblW w:w="0" w:type="auto"/>
        <w:jc w:val="center"/>
        <w:tblLook w:val="01E0"/>
      </w:tblPr>
      <w:tblGrid>
        <w:gridCol w:w="8856"/>
      </w:tblGrid>
      <w:tr w:rsidR="00F63036" w:rsidRPr="005810AD">
        <w:trPr>
          <w:jc w:val="center"/>
        </w:trPr>
        <w:tc>
          <w:tcPr>
            <w:tcW w:w="8856" w:type="dxa"/>
          </w:tcPr>
          <w:tbl>
            <w:tblPr>
              <w:tblStyle w:val="TableGrid"/>
              <w:tblW w:w="0" w:type="auto"/>
              <w:jc w:val="center"/>
              <w:tblLook w:val="01E0"/>
            </w:tblPr>
            <w:tblGrid>
              <w:gridCol w:w="6025"/>
              <w:gridCol w:w="2605"/>
            </w:tblGrid>
            <w:tr w:rsidR="00F63036" w:rsidRPr="005810AD" w:rsidTr="00ED25D1">
              <w:trPr>
                <w:jc w:val="center"/>
              </w:trPr>
              <w:tc>
                <w:tcPr>
                  <w:tcW w:w="8630" w:type="dxa"/>
                  <w:gridSpan w:val="2"/>
                  <w:vAlign w:val="center"/>
                </w:tcPr>
                <w:p w:rsidR="00F63036" w:rsidRPr="005810AD" w:rsidRDefault="00F63036" w:rsidP="006E396A">
                  <w:pPr>
                    <w:jc w:val="center"/>
                    <w:rPr>
                      <w:rFonts w:asciiTheme="majorHAnsi" w:hAnsiTheme="majorHAnsi" w:cs="Arial"/>
                      <w:b/>
                      <w:sz w:val="28"/>
                      <w:szCs w:val="28"/>
                    </w:rPr>
                  </w:pPr>
                  <w:r w:rsidRPr="005810AD">
                    <w:rPr>
                      <w:rFonts w:asciiTheme="majorHAnsi" w:hAnsiTheme="majorHAnsi" w:cs="Arial"/>
                      <w:b/>
                      <w:sz w:val="28"/>
                      <w:szCs w:val="28"/>
                    </w:rPr>
                    <w:t xml:space="preserve">Forecasted Smoke Dispersion for </w:t>
                  </w:r>
                  <w:r w:rsidR="00F23626">
                    <w:rPr>
                      <w:rFonts w:asciiTheme="majorHAnsi" w:hAnsiTheme="majorHAnsi" w:cs="Arial"/>
                      <w:b/>
                      <w:sz w:val="28"/>
                      <w:szCs w:val="28"/>
                    </w:rPr>
                    <w:t>May 11</w:t>
                  </w:r>
                  <w:r w:rsidRPr="005810AD">
                    <w:rPr>
                      <w:rFonts w:asciiTheme="majorHAnsi" w:hAnsiTheme="majorHAnsi" w:cs="Arial"/>
                      <w:b/>
                      <w:sz w:val="28"/>
                      <w:szCs w:val="28"/>
                    </w:rPr>
                    <w:t>, 20</w:t>
                  </w:r>
                  <w:r w:rsidR="006E396A" w:rsidRPr="005810AD">
                    <w:rPr>
                      <w:rFonts w:asciiTheme="majorHAnsi" w:hAnsiTheme="majorHAnsi" w:cs="Arial"/>
                      <w:b/>
                      <w:sz w:val="28"/>
                      <w:szCs w:val="28"/>
                    </w:rPr>
                    <w:t>11</w:t>
                  </w:r>
                  <w:r w:rsidR="008858F9">
                    <w:rPr>
                      <w:rFonts w:asciiTheme="majorHAnsi" w:hAnsiTheme="majorHAnsi" w:cs="Arial"/>
                      <w:b/>
                      <w:sz w:val="28"/>
                      <w:szCs w:val="28"/>
                    </w:rPr>
                    <w:br/>
                  </w:r>
                  <w:r w:rsidR="008858F9">
                    <w:rPr>
                      <w:rFonts w:ascii="Cambria" w:hAnsi="Cambria" w:cs="Arial"/>
                      <w:b/>
                      <w:sz w:val="20"/>
                      <w:szCs w:val="20"/>
                    </w:rPr>
                    <w:t>(HYSPLIT Meteoro</w:t>
                  </w:r>
                  <w:r w:rsidR="00BD2C3D">
                    <w:rPr>
                      <w:rFonts w:ascii="Cambria" w:hAnsi="Cambria" w:cs="Arial"/>
                      <w:b/>
                      <w:sz w:val="20"/>
                      <w:szCs w:val="20"/>
                    </w:rPr>
                    <w:t>logical File:  May 9, 2011 UTC12</w:t>
                  </w:r>
                  <w:r w:rsidR="008858F9">
                    <w:rPr>
                      <w:rFonts w:ascii="Cambria" w:hAnsi="Cambria" w:cs="Arial"/>
                      <w:b/>
                      <w:sz w:val="20"/>
                      <w:szCs w:val="20"/>
                    </w:rPr>
                    <w:t>)</w:t>
                  </w:r>
                </w:p>
              </w:tc>
            </w:tr>
            <w:tr w:rsidR="00F63036" w:rsidRPr="005810AD" w:rsidTr="00ED25D1">
              <w:trPr>
                <w:jc w:val="center"/>
              </w:trPr>
              <w:tc>
                <w:tcPr>
                  <w:tcW w:w="6025" w:type="dxa"/>
                  <w:vAlign w:val="center"/>
                </w:tcPr>
                <w:p w:rsidR="00F63036" w:rsidRPr="005810AD" w:rsidRDefault="00ED25D1" w:rsidP="00F63036">
                  <w:pPr>
                    <w:jc w:val="center"/>
                    <w:rPr>
                      <w:rFonts w:asciiTheme="majorHAnsi" w:hAnsiTheme="majorHAnsi" w:cs="Arial"/>
                      <w:b/>
                    </w:rPr>
                  </w:pPr>
                  <w:r w:rsidRPr="005810AD">
                    <w:rPr>
                      <w:rFonts w:asciiTheme="majorHAnsi" w:hAnsiTheme="majorHAnsi" w:cs="Arial"/>
                      <w:b/>
                    </w:rPr>
                    <w:t>Hourly PC HYSPLIT Smoke Dispersion Forecast Results</w:t>
                  </w:r>
                </w:p>
              </w:tc>
              <w:tc>
                <w:tcPr>
                  <w:tcW w:w="2605" w:type="dxa"/>
                  <w:tcBorders>
                    <w:bottom w:val="single" w:sz="4" w:space="0" w:color="auto"/>
                  </w:tcBorders>
                </w:tcPr>
                <w:p w:rsidR="00F63036" w:rsidRPr="005810AD" w:rsidRDefault="00F63036" w:rsidP="00F63036">
                  <w:pPr>
                    <w:rPr>
                      <w:rFonts w:asciiTheme="majorHAnsi" w:hAnsiTheme="majorHAnsi" w:cs="Arial"/>
                      <w:b/>
                      <w:sz w:val="28"/>
                      <w:szCs w:val="28"/>
                    </w:rPr>
                  </w:pPr>
                </w:p>
              </w:tc>
            </w:tr>
            <w:tr w:rsidR="00F63036" w:rsidRPr="005810AD" w:rsidTr="00ED25D1">
              <w:trPr>
                <w:jc w:val="center"/>
              </w:trPr>
              <w:tc>
                <w:tcPr>
                  <w:tcW w:w="6025" w:type="dxa"/>
                  <w:tcBorders>
                    <w:right w:val="nil"/>
                  </w:tcBorders>
                  <w:vAlign w:val="center"/>
                </w:tcPr>
                <w:p w:rsidR="00F63036" w:rsidRPr="005810AD" w:rsidRDefault="008F694E" w:rsidP="00ED25D1">
                  <w:pPr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392845" cy="2548849"/>
                        <wp:effectExtent l="19050" t="0" r="7455" b="0"/>
                        <wp:docPr id="7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5072" cy="25512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05" w:type="dxa"/>
                  <w:tcBorders>
                    <w:left w:val="nil"/>
                  </w:tcBorders>
                  <w:vAlign w:val="center"/>
                </w:tcPr>
                <w:p w:rsidR="00ED25D1" w:rsidRPr="005810AD" w:rsidRDefault="00ED25D1" w:rsidP="00ED25D1">
                  <w:pPr>
                    <w:jc w:val="center"/>
                    <w:rPr>
                      <w:rFonts w:asciiTheme="majorHAnsi" w:hAnsiTheme="majorHAnsi" w:cs="Arial"/>
                      <w:b/>
                    </w:rPr>
                  </w:pPr>
                  <w:r w:rsidRPr="005810AD">
                    <w:rPr>
                      <w:rFonts w:asciiTheme="majorHAnsi" w:hAnsiTheme="majorHAnsi" w:cs="Arial"/>
                      <w:b/>
                    </w:rPr>
                    <w:t>Hourly AQI</w:t>
                  </w:r>
                </w:p>
                <w:tbl>
                  <w:tblPr>
                    <w:tblW w:w="1760" w:type="dxa"/>
                    <w:tblInd w:w="170" w:type="dxa"/>
                    <w:tblLook w:val="04A0"/>
                  </w:tblPr>
                  <w:tblGrid>
                    <w:gridCol w:w="1760"/>
                  </w:tblGrid>
                  <w:tr w:rsidR="00ED25D1" w:rsidRPr="005810AD" w:rsidTr="009E5A95">
                    <w:trPr>
                      <w:trHeight w:val="300"/>
                    </w:trPr>
                    <w:tc>
                      <w:tcPr>
                        <w:tcW w:w="17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D25D1" w:rsidRPr="005810AD" w:rsidRDefault="00ED25D1" w:rsidP="009E5A95">
                        <w:pPr>
                          <w:jc w:val="center"/>
                          <w:rPr>
                            <w:rFonts w:asciiTheme="majorHAnsi" w:hAnsiTheme="majorHAns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5810AD">
                          <w:rPr>
                            <w:rFonts w:asciiTheme="majorHAnsi" w:hAnsiTheme="majorHAns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Good</w:t>
                        </w:r>
                      </w:p>
                    </w:tc>
                  </w:tr>
                  <w:tr w:rsidR="00ED25D1" w:rsidRPr="005810AD" w:rsidTr="009E5A95">
                    <w:trPr>
                      <w:trHeight w:val="300"/>
                    </w:trPr>
                    <w:tc>
                      <w:tcPr>
                        <w:tcW w:w="17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75DBFF"/>
                        <w:noWrap/>
                        <w:vAlign w:val="center"/>
                        <w:hideMark/>
                      </w:tcPr>
                      <w:p w:rsidR="00ED25D1" w:rsidRPr="005810AD" w:rsidRDefault="00ED25D1" w:rsidP="009E5A95">
                        <w:pPr>
                          <w:jc w:val="center"/>
                          <w:rPr>
                            <w:rFonts w:asciiTheme="majorHAnsi" w:hAnsiTheme="majorHAnsi" w:cs="Calibri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5810AD">
                          <w:rPr>
                            <w:rFonts w:asciiTheme="majorHAnsi" w:hAnsiTheme="majorHAnsi" w:cs="Calibri"/>
                            <w:b/>
                            <w:bCs/>
                            <w:sz w:val="22"/>
                            <w:szCs w:val="22"/>
                          </w:rPr>
                          <w:t>Moderate</w:t>
                        </w:r>
                      </w:p>
                    </w:tc>
                  </w:tr>
                  <w:tr w:rsidR="00ED25D1" w:rsidRPr="005810AD" w:rsidTr="009E5A95">
                    <w:trPr>
                      <w:trHeight w:val="600"/>
                    </w:trPr>
                    <w:tc>
                      <w:tcPr>
                        <w:tcW w:w="17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09E113"/>
                        <w:vAlign w:val="center"/>
                        <w:hideMark/>
                      </w:tcPr>
                      <w:p w:rsidR="00ED25D1" w:rsidRPr="005810AD" w:rsidRDefault="00ED25D1" w:rsidP="009E5A95">
                        <w:pPr>
                          <w:jc w:val="center"/>
                          <w:rPr>
                            <w:rFonts w:asciiTheme="majorHAnsi" w:hAnsiTheme="majorHAnsi" w:cs="Calibri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5810AD">
                          <w:rPr>
                            <w:rFonts w:asciiTheme="majorHAnsi" w:hAnsiTheme="majorHAnsi" w:cs="Calibri"/>
                            <w:b/>
                            <w:bCs/>
                            <w:sz w:val="22"/>
                            <w:szCs w:val="22"/>
                          </w:rPr>
                          <w:t>Unhealthy for Sensitive People</w:t>
                        </w:r>
                      </w:p>
                    </w:tc>
                  </w:tr>
                  <w:tr w:rsidR="00ED25D1" w:rsidRPr="005810AD" w:rsidTr="009E5A95">
                    <w:trPr>
                      <w:trHeight w:val="300"/>
                    </w:trPr>
                    <w:tc>
                      <w:tcPr>
                        <w:tcW w:w="17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050BF9"/>
                        <w:noWrap/>
                        <w:vAlign w:val="center"/>
                        <w:hideMark/>
                      </w:tcPr>
                      <w:p w:rsidR="00ED25D1" w:rsidRPr="005810AD" w:rsidRDefault="00ED25D1" w:rsidP="009E5A95">
                        <w:pPr>
                          <w:jc w:val="center"/>
                          <w:rPr>
                            <w:rFonts w:asciiTheme="majorHAnsi" w:hAnsiTheme="majorHAnsi" w:cs="Calibri"/>
                            <w:b/>
                            <w:bCs/>
                            <w:color w:val="FFFFFF"/>
                            <w:sz w:val="22"/>
                            <w:szCs w:val="22"/>
                          </w:rPr>
                        </w:pPr>
                        <w:r w:rsidRPr="005810AD">
                          <w:rPr>
                            <w:rFonts w:asciiTheme="majorHAnsi" w:hAnsiTheme="majorHAnsi" w:cs="Calibri"/>
                            <w:b/>
                            <w:bCs/>
                            <w:color w:val="FFFFFF"/>
                            <w:sz w:val="22"/>
                            <w:szCs w:val="22"/>
                          </w:rPr>
                          <w:t>Unhealthy</w:t>
                        </w:r>
                      </w:p>
                    </w:tc>
                  </w:tr>
                  <w:tr w:rsidR="00ED25D1" w:rsidRPr="005810AD" w:rsidTr="009E5A95">
                    <w:trPr>
                      <w:trHeight w:val="300"/>
                    </w:trPr>
                    <w:tc>
                      <w:tcPr>
                        <w:tcW w:w="17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00"/>
                        <w:noWrap/>
                        <w:vAlign w:val="center"/>
                        <w:hideMark/>
                      </w:tcPr>
                      <w:p w:rsidR="00ED25D1" w:rsidRPr="005810AD" w:rsidRDefault="00ED25D1" w:rsidP="009E5A95">
                        <w:pPr>
                          <w:jc w:val="center"/>
                          <w:rPr>
                            <w:rFonts w:asciiTheme="majorHAnsi" w:hAnsiTheme="majorHAnsi" w:cs="Calibri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5810AD">
                          <w:rPr>
                            <w:rFonts w:asciiTheme="majorHAnsi" w:hAnsiTheme="majorHAnsi" w:cs="Calibri"/>
                            <w:b/>
                            <w:bCs/>
                            <w:sz w:val="22"/>
                            <w:szCs w:val="22"/>
                          </w:rPr>
                          <w:t>Very Unhealthy</w:t>
                        </w:r>
                      </w:p>
                    </w:tc>
                  </w:tr>
                  <w:tr w:rsidR="00ED25D1" w:rsidRPr="005810AD" w:rsidTr="009E5A95">
                    <w:trPr>
                      <w:trHeight w:val="300"/>
                    </w:trPr>
                    <w:tc>
                      <w:tcPr>
                        <w:tcW w:w="17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00"/>
                        <w:noWrap/>
                        <w:vAlign w:val="center"/>
                        <w:hideMark/>
                      </w:tcPr>
                      <w:p w:rsidR="00ED25D1" w:rsidRPr="005810AD" w:rsidRDefault="00ED25D1" w:rsidP="009E5A95">
                        <w:pPr>
                          <w:jc w:val="center"/>
                          <w:rPr>
                            <w:rFonts w:asciiTheme="majorHAnsi" w:hAnsiTheme="majorHAnsi" w:cs="Calibri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5810AD">
                          <w:rPr>
                            <w:rFonts w:asciiTheme="majorHAnsi" w:hAnsiTheme="majorHAnsi" w:cs="Calibri"/>
                            <w:b/>
                            <w:bCs/>
                            <w:sz w:val="22"/>
                            <w:szCs w:val="22"/>
                          </w:rPr>
                          <w:t>Hazardous</w:t>
                        </w:r>
                      </w:p>
                    </w:tc>
                  </w:tr>
                </w:tbl>
                <w:p w:rsidR="00F63036" w:rsidRPr="005810AD" w:rsidRDefault="00F63036" w:rsidP="00F63036">
                  <w:pPr>
                    <w:jc w:val="center"/>
                    <w:rPr>
                      <w:rFonts w:asciiTheme="majorHAnsi" w:hAnsiTheme="majorHAnsi" w:cs="Arial"/>
                    </w:rPr>
                  </w:pPr>
                </w:p>
                <w:p w:rsidR="00F63036" w:rsidRPr="005810AD" w:rsidRDefault="00F63036" w:rsidP="00F63036">
                  <w:pPr>
                    <w:jc w:val="center"/>
                    <w:rPr>
                      <w:rFonts w:asciiTheme="majorHAnsi" w:hAnsiTheme="majorHAnsi" w:cs="Arial"/>
                      <w:b/>
                      <w:sz w:val="28"/>
                      <w:szCs w:val="28"/>
                    </w:rPr>
                  </w:pPr>
                </w:p>
              </w:tc>
            </w:tr>
            <w:tr w:rsidR="00F63036" w:rsidRPr="005810AD" w:rsidTr="00ED25D1">
              <w:trPr>
                <w:jc w:val="center"/>
              </w:trPr>
              <w:tc>
                <w:tcPr>
                  <w:tcW w:w="6025" w:type="dxa"/>
                  <w:tcBorders>
                    <w:right w:val="nil"/>
                  </w:tcBorders>
                </w:tcPr>
                <w:p w:rsidR="00F63036" w:rsidRPr="005810AD" w:rsidRDefault="003F7998" w:rsidP="008F694E">
                  <w:pPr>
                    <w:rPr>
                      <w:rFonts w:asciiTheme="majorHAnsi" w:hAnsiTheme="majorHAnsi" w:cs="Arial"/>
                      <w:b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The modeling predictions above are for between midnight and </w:t>
                  </w:r>
                  <w:r w:rsidR="008F694E">
                    <w:rPr>
                      <w:rFonts w:asciiTheme="majorHAnsi" w:hAnsiTheme="majorHAnsi" w:cs="Arial"/>
                      <w:sz w:val="22"/>
                      <w:szCs w:val="22"/>
                    </w:rPr>
                    <w:t>0800 on May 11</w:t>
                  </w:r>
                  <w:r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, 2011.  </w:t>
                  </w:r>
                  <w:r w:rsidR="008F694E"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Winds will continue to shift from southerly directions to westerlies.  </w:t>
                  </w:r>
                  <w:r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Very Unhealthy or Hazardous fine particulate matter concentrations are predicted to be present </w:t>
                  </w:r>
                  <w:r w:rsidR="008F694E"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and smoke could </w:t>
                  </w:r>
                  <w:r w:rsidR="004447CB"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be present and </w:t>
                  </w:r>
                  <w:r w:rsidR="008F694E">
                    <w:rPr>
                      <w:rFonts w:asciiTheme="majorHAnsi" w:hAnsiTheme="majorHAnsi" w:cs="Arial"/>
                      <w:sz w:val="22"/>
                      <w:szCs w:val="22"/>
                    </w:rPr>
                    <w:t>disperse across Interstate 95</w:t>
                  </w:r>
                  <w:r>
                    <w:rPr>
                      <w:rFonts w:asciiTheme="majorHAnsi" w:hAnsiTheme="majorHAnsi" w:cs="Arial"/>
                      <w:sz w:val="22"/>
                      <w:szCs w:val="22"/>
                    </w:rPr>
                    <w:t>.</w:t>
                  </w:r>
                  <w:r w:rsidR="00F63036" w:rsidRPr="005810AD"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2605" w:type="dxa"/>
                  <w:tcBorders>
                    <w:left w:val="nil"/>
                  </w:tcBorders>
                </w:tcPr>
                <w:p w:rsidR="00F63036" w:rsidRPr="005810AD" w:rsidRDefault="00F63036" w:rsidP="00F63036">
                  <w:pPr>
                    <w:rPr>
                      <w:rFonts w:asciiTheme="majorHAnsi" w:hAnsiTheme="majorHAnsi" w:cs="Arial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63036" w:rsidRPr="005810AD" w:rsidRDefault="00F63036">
            <w:pPr>
              <w:rPr>
                <w:rFonts w:asciiTheme="majorHAnsi" w:hAnsiTheme="majorHAnsi"/>
              </w:rPr>
            </w:pPr>
          </w:p>
        </w:tc>
      </w:tr>
      <w:tr w:rsidR="00F63036" w:rsidRPr="005810AD">
        <w:trPr>
          <w:jc w:val="center"/>
        </w:trPr>
        <w:tc>
          <w:tcPr>
            <w:tcW w:w="8856" w:type="dxa"/>
          </w:tcPr>
          <w:p w:rsidR="00F63036" w:rsidRPr="005810AD" w:rsidRDefault="00F63036">
            <w:pPr>
              <w:rPr>
                <w:rFonts w:asciiTheme="majorHAnsi" w:hAnsiTheme="majorHAnsi"/>
              </w:rPr>
            </w:pPr>
          </w:p>
        </w:tc>
      </w:tr>
    </w:tbl>
    <w:p w:rsidR="00E923FB" w:rsidRPr="005810AD" w:rsidRDefault="00E923FB" w:rsidP="00DB118B">
      <w:pPr>
        <w:rPr>
          <w:rFonts w:asciiTheme="majorHAnsi" w:hAnsiTheme="majorHAnsi" w:cs="Arial"/>
          <w:b/>
          <w:sz w:val="28"/>
          <w:szCs w:val="28"/>
        </w:rPr>
      </w:pPr>
    </w:p>
    <w:p w:rsidR="00E923FB" w:rsidRPr="005810AD" w:rsidRDefault="00E923FB" w:rsidP="00A96E5E">
      <w:pPr>
        <w:rPr>
          <w:rFonts w:asciiTheme="majorHAnsi" w:hAnsiTheme="majorHAnsi"/>
        </w:rPr>
      </w:pPr>
    </w:p>
    <w:sectPr w:rsidR="00E923FB" w:rsidRPr="005810AD" w:rsidSect="001D046A">
      <w:headerReference w:type="default" r:id="rId14"/>
      <w:footerReference w:type="default" r:id="rId15"/>
      <w:pgSz w:w="12240" w:h="15840"/>
      <w:pgMar w:top="1440" w:right="108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B16" w:rsidRDefault="00AB2B16">
      <w:r>
        <w:separator/>
      </w:r>
    </w:p>
  </w:endnote>
  <w:endnote w:type="continuationSeparator" w:id="0">
    <w:p w:rsidR="00AB2B16" w:rsidRDefault="00AB2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920907"/>
      <w:docPartObj>
        <w:docPartGallery w:val="Page Numbers (Bottom of Page)"/>
        <w:docPartUnique/>
      </w:docPartObj>
    </w:sdtPr>
    <w:sdtContent>
      <w:p w:rsidR="00102832" w:rsidRDefault="00991B47">
        <w:pPr>
          <w:pStyle w:val="Footer"/>
          <w:jc w:val="right"/>
        </w:pPr>
        <w:fldSimple w:instr=" PAGE   \* MERGEFORMAT ">
          <w:r w:rsidR="007C0D6F">
            <w:rPr>
              <w:noProof/>
            </w:rPr>
            <w:t>3</w:t>
          </w:r>
        </w:fldSimple>
      </w:p>
    </w:sdtContent>
  </w:sdt>
  <w:p w:rsidR="00102832" w:rsidRDefault="001028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B16" w:rsidRDefault="00AB2B16">
      <w:r>
        <w:separator/>
      </w:r>
    </w:p>
  </w:footnote>
  <w:footnote w:type="continuationSeparator" w:id="0">
    <w:p w:rsidR="00AB2B16" w:rsidRDefault="00AB2B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832" w:rsidRDefault="002F5E67" w:rsidP="00A269C2">
    <w:r>
      <w:t>Date:  May 9</w:t>
    </w:r>
    <w:r w:rsidR="00102832">
      <w:t>, 2011</w:t>
    </w:r>
  </w:p>
  <w:p w:rsidR="00102832" w:rsidRDefault="002F5E67" w:rsidP="00A269C2">
    <w:r>
      <w:t>Time:  16</w:t>
    </w:r>
    <w:r w:rsidR="007C0D6F">
      <w:t>50</w:t>
    </w:r>
  </w:p>
  <w:p w:rsidR="00102832" w:rsidRDefault="00102832" w:rsidP="00A269C2">
    <w:r>
      <w:t>Prepared by:  Bill Jackson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9027F"/>
    <w:multiLevelType w:val="hybridMultilevel"/>
    <w:tmpl w:val="96E2C824"/>
    <w:lvl w:ilvl="0" w:tplc="4E2C678A">
      <w:start w:val="16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2FC"/>
    <w:rsid w:val="00011286"/>
    <w:rsid w:val="000160D5"/>
    <w:rsid w:val="00035C10"/>
    <w:rsid w:val="000522AF"/>
    <w:rsid w:val="00067A43"/>
    <w:rsid w:val="000706E8"/>
    <w:rsid w:val="000C671C"/>
    <w:rsid w:val="000D7249"/>
    <w:rsid w:val="000E2DA6"/>
    <w:rsid w:val="000E3700"/>
    <w:rsid w:val="000E6103"/>
    <w:rsid w:val="00102832"/>
    <w:rsid w:val="001318A2"/>
    <w:rsid w:val="00172B49"/>
    <w:rsid w:val="001A08F4"/>
    <w:rsid w:val="001A3117"/>
    <w:rsid w:val="001D046A"/>
    <w:rsid w:val="001D76A3"/>
    <w:rsid w:val="00244F7C"/>
    <w:rsid w:val="002528CA"/>
    <w:rsid w:val="00255448"/>
    <w:rsid w:val="00273C2E"/>
    <w:rsid w:val="00293A4B"/>
    <w:rsid w:val="002B66A2"/>
    <w:rsid w:val="002C2E22"/>
    <w:rsid w:val="002F5E67"/>
    <w:rsid w:val="00334C25"/>
    <w:rsid w:val="00383CB1"/>
    <w:rsid w:val="00385D0D"/>
    <w:rsid w:val="003C27A7"/>
    <w:rsid w:val="003F7998"/>
    <w:rsid w:val="00400575"/>
    <w:rsid w:val="00426655"/>
    <w:rsid w:val="00441C41"/>
    <w:rsid w:val="004447CB"/>
    <w:rsid w:val="00456BEE"/>
    <w:rsid w:val="004901D7"/>
    <w:rsid w:val="004A75CB"/>
    <w:rsid w:val="004C06B0"/>
    <w:rsid w:val="004C3088"/>
    <w:rsid w:val="004D126F"/>
    <w:rsid w:val="005237DB"/>
    <w:rsid w:val="0053452D"/>
    <w:rsid w:val="0056093B"/>
    <w:rsid w:val="005757BE"/>
    <w:rsid w:val="005810AD"/>
    <w:rsid w:val="005C790A"/>
    <w:rsid w:val="00611438"/>
    <w:rsid w:val="00620462"/>
    <w:rsid w:val="00673A67"/>
    <w:rsid w:val="006C6D9B"/>
    <w:rsid w:val="006D1DAF"/>
    <w:rsid w:val="006E396A"/>
    <w:rsid w:val="006F2D5A"/>
    <w:rsid w:val="00746753"/>
    <w:rsid w:val="00761D1A"/>
    <w:rsid w:val="00763B1F"/>
    <w:rsid w:val="00774F0E"/>
    <w:rsid w:val="007960BD"/>
    <w:rsid w:val="007A1530"/>
    <w:rsid w:val="007C0D6F"/>
    <w:rsid w:val="007D187B"/>
    <w:rsid w:val="007E7CB7"/>
    <w:rsid w:val="00804B8E"/>
    <w:rsid w:val="00822685"/>
    <w:rsid w:val="00822F9A"/>
    <w:rsid w:val="00864843"/>
    <w:rsid w:val="00875C5B"/>
    <w:rsid w:val="008858F9"/>
    <w:rsid w:val="0089328C"/>
    <w:rsid w:val="008A136F"/>
    <w:rsid w:val="008B1636"/>
    <w:rsid w:val="008B331A"/>
    <w:rsid w:val="008C73C1"/>
    <w:rsid w:val="008F694E"/>
    <w:rsid w:val="00922A17"/>
    <w:rsid w:val="009277BC"/>
    <w:rsid w:val="00947408"/>
    <w:rsid w:val="009519DE"/>
    <w:rsid w:val="00955B35"/>
    <w:rsid w:val="00975182"/>
    <w:rsid w:val="00975655"/>
    <w:rsid w:val="00977965"/>
    <w:rsid w:val="00991B47"/>
    <w:rsid w:val="009A4B8B"/>
    <w:rsid w:val="009C5DD8"/>
    <w:rsid w:val="009E2456"/>
    <w:rsid w:val="00A269C2"/>
    <w:rsid w:val="00A43A0A"/>
    <w:rsid w:val="00A96E5E"/>
    <w:rsid w:val="00AA1365"/>
    <w:rsid w:val="00AB1DE4"/>
    <w:rsid w:val="00AB2B16"/>
    <w:rsid w:val="00AB377D"/>
    <w:rsid w:val="00AC7357"/>
    <w:rsid w:val="00AE01E0"/>
    <w:rsid w:val="00AE0A3B"/>
    <w:rsid w:val="00B036E0"/>
    <w:rsid w:val="00B129F1"/>
    <w:rsid w:val="00B3756A"/>
    <w:rsid w:val="00B81612"/>
    <w:rsid w:val="00BB4638"/>
    <w:rsid w:val="00BD0507"/>
    <w:rsid w:val="00BD2C3D"/>
    <w:rsid w:val="00BE1E59"/>
    <w:rsid w:val="00BE719F"/>
    <w:rsid w:val="00BF63A5"/>
    <w:rsid w:val="00C021FD"/>
    <w:rsid w:val="00C52197"/>
    <w:rsid w:val="00C60EFF"/>
    <w:rsid w:val="00C84A7A"/>
    <w:rsid w:val="00C92F0D"/>
    <w:rsid w:val="00C95DC9"/>
    <w:rsid w:val="00CD04BB"/>
    <w:rsid w:val="00CD3FEC"/>
    <w:rsid w:val="00CE416C"/>
    <w:rsid w:val="00D10996"/>
    <w:rsid w:val="00D675DB"/>
    <w:rsid w:val="00DA68DC"/>
    <w:rsid w:val="00DB118B"/>
    <w:rsid w:val="00DB2EEA"/>
    <w:rsid w:val="00DC20AA"/>
    <w:rsid w:val="00DC286C"/>
    <w:rsid w:val="00DD1446"/>
    <w:rsid w:val="00DD779A"/>
    <w:rsid w:val="00DF40FC"/>
    <w:rsid w:val="00E16C14"/>
    <w:rsid w:val="00E20ABB"/>
    <w:rsid w:val="00E20F9C"/>
    <w:rsid w:val="00E32AF3"/>
    <w:rsid w:val="00E6254B"/>
    <w:rsid w:val="00E719C4"/>
    <w:rsid w:val="00E80610"/>
    <w:rsid w:val="00E9066F"/>
    <w:rsid w:val="00E923FB"/>
    <w:rsid w:val="00EC6A9C"/>
    <w:rsid w:val="00ED19E6"/>
    <w:rsid w:val="00ED25D1"/>
    <w:rsid w:val="00EE2060"/>
    <w:rsid w:val="00EF1410"/>
    <w:rsid w:val="00EF71F4"/>
    <w:rsid w:val="00F23626"/>
    <w:rsid w:val="00F40FE0"/>
    <w:rsid w:val="00F61295"/>
    <w:rsid w:val="00F63036"/>
    <w:rsid w:val="00F715CB"/>
    <w:rsid w:val="00F952FC"/>
    <w:rsid w:val="00FC5FE0"/>
    <w:rsid w:val="00FD223F"/>
    <w:rsid w:val="00FD5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lim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4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69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269C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04B8E"/>
    <w:rPr>
      <w:color w:val="0000FF"/>
      <w:u w:val="single"/>
    </w:rPr>
  </w:style>
  <w:style w:type="table" w:styleId="TableGrid">
    <w:name w:val="Table Grid"/>
    <w:basedOn w:val="TableNormal"/>
    <w:rsid w:val="009779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9519DE"/>
    <w:rPr>
      <w:color w:val="60642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E396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8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airnow.gov/index.cfm?action=aqibasics.aq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Potential Smoke Impacts Daily Report for ______________________________ </vt:lpstr>
    </vt:vector>
  </TitlesOfParts>
  <Company>USDA Forest Service</Company>
  <LinksUpToDate>false</LinksUpToDate>
  <CharactersWithSpaces>3442</CharactersWithSpaces>
  <SharedDoc>false</SharedDoc>
  <HLinks>
    <vt:vector size="24" baseType="variant">
      <vt:variant>
        <vt:i4>2424949</vt:i4>
      </vt:variant>
      <vt:variant>
        <vt:i4>9</vt:i4>
      </vt:variant>
      <vt:variant>
        <vt:i4>0</vt:i4>
      </vt:variant>
      <vt:variant>
        <vt:i4>5</vt:i4>
      </vt:variant>
      <vt:variant>
        <vt:lpwstr>http://gacc.nifc.gov/sacc/predictive/decision_support/fb_forecast/air_quality_descriptors.doc</vt:lpwstr>
      </vt:variant>
      <vt:variant>
        <vt:lpwstr/>
      </vt:variant>
      <vt:variant>
        <vt:i4>2424949</vt:i4>
      </vt:variant>
      <vt:variant>
        <vt:i4>6</vt:i4>
      </vt:variant>
      <vt:variant>
        <vt:i4>0</vt:i4>
      </vt:variant>
      <vt:variant>
        <vt:i4>5</vt:i4>
      </vt:variant>
      <vt:variant>
        <vt:lpwstr>http://gacc.nifc.gov/sacc/predictive/decision_support/fb_forecast/air_quality_descriptors.doc</vt:lpwstr>
      </vt:variant>
      <vt:variant>
        <vt:lpwstr/>
      </vt:variant>
      <vt:variant>
        <vt:i4>2424949</vt:i4>
      </vt:variant>
      <vt:variant>
        <vt:i4>3</vt:i4>
      </vt:variant>
      <vt:variant>
        <vt:i4>0</vt:i4>
      </vt:variant>
      <vt:variant>
        <vt:i4>5</vt:i4>
      </vt:variant>
      <vt:variant>
        <vt:lpwstr>http://gacc.nifc.gov/sacc/predictive/decision_support/fb_forecast/air_quality_descriptors.doc</vt:lpwstr>
      </vt:variant>
      <vt:variant>
        <vt:lpwstr/>
      </vt:variant>
      <vt:variant>
        <vt:i4>2424949</vt:i4>
      </vt:variant>
      <vt:variant>
        <vt:i4>0</vt:i4>
      </vt:variant>
      <vt:variant>
        <vt:i4>0</vt:i4>
      </vt:variant>
      <vt:variant>
        <vt:i4>5</vt:i4>
      </vt:variant>
      <vt:variant>
        <vt:lpwstr>http://gacc.nifc.gov/sacc/predictive/decision_support/fb_forecast/air_quality_descriptors.doc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Potential Smoke Impacts Daily Report for ______________________________ </dc:title>
  <dc:subject/>
  <dc:creator>Cindy Huber</dc:creator>
  <cp:keywords/>
  <dc:description/>
  <cp:lastModifiedBy>Bill Jackson</cp:lastModifiedBy>
  <cp:revision>11</cp:revision>
  <cp:lastPrinted>2007-06-05T16:48:00Z</cp:lastPrinted>
  <dcterms:created xsi:type="dcterms:W3CDTF">2011-05-08T13:31:00Z</dcterms:created>
  <dcterms:modified xsi:type="dcterms:W3CDTF">2011-05-09T20:49:00Z</dcterms:modified>
</cp:coreProperties>
</file>