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Hidden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(AZ-TNF-002616)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Phoenix Dispatch </w:t>
              <w:br/>
              <w:t>(480-457-1551)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5,021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420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1831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(MST)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8/30/20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bookmarkStart w:id="0" w:name="__DdeLink__129_2909571872"/>
            <w:r>
              <w:rPr>
                <w:sz w:val="20"/>
                <w:szCs w:val="20"/>
              </w:rPr>
              <w:t>Tom Mellin</w:t>
            </w:r>
            <w:bookmarkEnd w:id="0"/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Passes matched up well with each other and did not need correction. Imagery did not cover full scan box.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Thick clouds in area. Did not show up in imagery.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08/30/20 @ 2230  (MST)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1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ftp.nifc.gov/</w:t>
            </w:r>
            <w:bookmarkEnd w:id="1"/>
            <w:r>
              <w:rPr>
                <w:b w:val="false"/>
                <w:bCs w:val="false"/>
                <w:sz w:val="18"/>
                <w:szCs w:val="18"/>
              </w:rPr>
              <w:t>incident_specific_data/southwest/GACC_Incidents/2020/2020_Hidden/IR/20200831/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08/31/20 @ 0133  (MST)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(111</w:t>
            </w:r>
            <w:r>
              <w:rPr>
                <w:rFonts w:eastAsia="Times New Roman" w:cs="Times New Roman"/>
                <w:sz w:val="20"/>
                <w:szCs w:val="20"/>
              </w:rPr>
              <w:t>°7</w:t>
            </w:r>
            <w:r>
              <w:rPr>
                <w:sz w:val="20"/>
                <w:szCs w:val="20"/>
              </w:rPr>
              <w:t>' W – 111</w:t>
            </w:r>
            <w:r>
              <w:rPr>
                <w:rFonts w:eastAsia="Times New Roman" w:cs="Times New Roman"/>
                <w:sz w:val="20"/>
                <w:szCs w:val="20"/>
              </w:rPr>
              <w:t>°12</w:t>
            </w:r>
            <w:r>
              <w:rPr>
                <w:sz w:val="20"/>
                <w:szCs w:val="20"/>
              </w:rPr>
              <w:t>'45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W) x (33</w:t>
            </w:r>
            <w:r>
              <w:rPr>
                <w:rFonts w:eastAsia="Times New Roman" w:cs="Times New Roman"/>
                <w:sz w:val="20"/>
                <w:szCs w:val="20"/>
              </w:rPr>
              <w:t>°54'</w:t>
            </w:r>
            <w:r>
              <w:rPr>
                <w:sz w:val="20"/>
                <w:szCs w:val="20"/>
              </w:rPr>
              <w:t xml:space="preserve"> N – </w:t>
            </w:r>
            <w:bookmarkStart w:id="2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°2</w:t>
            </w:r>
            <w:r>
              <w:rPr>
                <w:sz w:val="20"/>
                <w:szCs w:val="20"/>
              </w:rPr>
              <w:t>'</w:t>
            </w:r>
            <w:bookmarkEnd w:id="2"/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Western 0.2 mi of scan box was not covered. Pilot was unable to fly this due to thick cloud </w:t>
            </w:r>
            <w:r>
              <w:rPr>
                <w:sz w:val="20"/>
                <w:szCs w:val="20"/>
              </w:rPr>
              <w:t>cover on west side of scan box</w:t>
            </w:r>
            <w:r>
              <w:rPr>
                <w:sz w:val="20"/>
                <w:szCs w:val="20"/>
              </w:rPr>
              <w:t>. This area was marked, exported as a shapefile called “CoverageGaps”, and bundled with the rest of the shapefiles.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Fire had spread beyond southern edge of scan box. This was still covered in the imagery.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Used perimeter provided by GISS as starting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Majority of activity on southern and northern edges of perimeter.</w:t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1382</TotalTime>
  <Application>LibreOffice/6.1.0.3$Windows_X86_64 LibreOffice_project/efb621ed25068d70781dc026f7e9c5187a4decd1</Application>
  <Pages>1</Pages>
  <Words>264</Words>
  <Characters>1518</Characters>
  <CharactersWithSpaces>1731</CharactersWithSpaces>
  <Paragraphs>55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2020-08-31T03:24:11Z</dcterms:modified>
  <cp:revision>191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