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522B5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191675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um</w:t>
            </w:r>
          </w:p>
          <w:p w:rsidR="00E01D36" w:rsidRPr="00E01D36" w:rsidRDefault="009A5189" w:rsidP="00522B52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3B25DA">
              <w:rPr>
                <w:sz w:val="22"/>
                <w:szCs w:val="22"/>
              </w:rPr>
              <w:t>AZ-</w:t>
            </w:r>
            <w:r w:rsidR="00522B52">
              <w:rPr>
                <w:sz w:val="22"/>
                <w:szCs w:val="22"/>
              </w:rPr>
              <w:t>KNF</w:t>
            </w:r>
            <w:r w:rsidR="00965B96" w:rsidRPr="00965B96">
              <w:rPr>
                <w:sz w:val="22"/>
                <w:szCs w:val="22"/>
              </w:rPr>
              <w:t>-00</w:t>
            </w:r>
            <w:r w:rsidR="00522B52">
              <w:rPr>
                <w:sz w:val="22"/>
                <w:szCs w:val="22"/>
              </w:rPr>
              <w:t>0359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4C3022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522B52" w:rsidP="00522B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928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635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2601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D119C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0726C7">
              <w:rPr>
                <w:sz w:val="20"/>
                <w:szCs w:val="20"/>
              </w:rPr>
              <w:t xml:space="preserve"> 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AF5E6D" w:rsidP="003B25DA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227</w:t>
            </w:r>
            <w:r w:rsidR="00191675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AF5E6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A179C1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AF5E6D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522B52">
              <w:rPr>
                <w:sz w:val="20"/>
                <w:szCs w:val="20"/>
              </w:rPr>
              <w:t>1</w:t>
            </w:r>
            <w:r w:rsidR="00AF5E6D">
              <w:rPr>
                <w:sz w:val="20"/>
                <w:szCs w:val="20"/>
              </w:rPr>
              <w:t>1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Parrish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19167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1565A4" w:rsidRPr="00E01D36" w:rsidRDefault="00D210AD" w:rsidP="00191675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Good imagery.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B25DA" w:rsidP="00A179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79C1">
              <w:rPr>
                <w:sz w:val="18"/>
                <w:szCs w:val="18"/>
              </w:rPr>
              <w:t>1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A179C1">
              <w:rPr>
                <w:sz w:val="18"/>
                <w:szCs w:val="18"/>
              </w:rPr>
              <w:t>0045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A179C1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A179C1">
              <w:rPr>
                <w:rStyle w:val="Hyperlink"/>
                <w:sz w:val="18"/>
                <w:szCs w:val="18"/>
              </w:rPr>
              <w:t>Mangum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D210AD" w:rsidP="00A179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79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/06/2020 </w:t>
            </w:r>
            <w:r w:rsidR="00A179C1">
              <w:rPr>
                <w:sz w:val="18"/>
                <w:szCs w:val="18"/>
              </w:rPr>
              <w:t>0145</w:t>
            </w:r>
            <w:r w:rsidR="005D688C">
              <w:rPr>
                <w:sz w:val="18"/>
                <w:szCs w:val="18"/>
              </w:rPr>
              <w:t xml:space="preserve"> M</w:t>
            </w:r>
            <w:r w:rsidR="00A179C1">
              <w:rPr>
                <w:sz w:val="18"/>
                <w:szCs w:val="18"/>
              </w:rPr>
              <w:t>S</w:t>
            </w:r>
            <w:r w:rsidR="005D688C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F2370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F2370D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F21554" w:rsidRDefault="00C40E0A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heat detected west </w:t>
            </w:r>
            <w:r w:rsidR="00522B52">
              <w:rPr>
                <w:sz w:val="22"/>
                <w:szCs w:val="22"/>
              </w:rPr>
              <w:t>of Nail Canyon Road.</w:t>
            </w:r>
          </w:p>
          <w:p w:rsidR="00AF5E6D" w:rsidRDefault="00AF5E6D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AF5E6D" w:rsidRDefault="00A24909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perimeter growth this period occurred on the northeast flank along Mangum Canyon. </w:t>
            </w:r>
            <w:r w:rsidR="00AA4CC9">
              <w:rPr>
                <w:sz w:val="22"/>
                <w:szCs w:val="22"/>
              </w:rPr>
              <w:t>Due east of Mangum Springs, t</w:t>
            </w:r>
            <w:r>
              <w:rPr>
                <w:sz w:val="22"/>
                <w:szCs w:val="22"/>
              </w:rPr>
              <w:t xml:space="preserve">he main heat perimeter and three smaller heat perimeters </w:t>
            </w:r>
            <w:r w:rsidR="00AA4CC9">
              <w:rPr>
                <w:sz w:val="22"/>
                <w:szCs w:val="22"/>
              </w:rPr>
              <w:t xml:space="preserve">lie </w:t>
            </w:r>
            <w:r>
              <w:rPr>
                <w:sz w:val="22"/>
                <w:szCs w:val="22"/>
              </w:rPr>
              <w:t>east of the road that runs along Nail Point.</w:t>
            </w:r>
            <w:r w:rsidR="00AA4CC9">
              <w:rPr>
                <w:sz w:val="22"/>
                <w:szCs w:val="22"/>
              </w:rPr>
              <w:t xml:space="preserve"> Further south, all heat lies west of that same road.</w:t>
            </w:r>
          </w:p>
          <w:p w:rsidR="00AA4CC9" w:rsidRDefault="00AA4CC9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22B52" w:rsidRDefault="00AA4CC9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scattered and isolated heat remains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around Mangum Camp to the north and south.</w:t>
            </w:r>
          </w:p>
          <w:p w:rsidR="00666982" w:rsidRPr="00DA3CDD" w:rsidRDefault="00666982" w:rsidP="00AF5E6D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22" w:rsidRDefault="004C3022">
      <w:r>
        <w:separator/>
      </w:r>
    </w:p>
  </w:endnote>
  <w:endnote w:type="continuationSeparator" w:id="0">
    <w:p w:rsidR="004C3022" w:rsidRDefault="004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22" w:rsidRDefault="004C3022">
      <w:r>
        <w:separator/>
      </w:r>
    </w:p>
  </w:footnote>
  <w:footnote w:type="continuationSeparator" w:id="0">
    <w:p w:rsidR="004C3022" w:rsidRDefault="004C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B23C0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91675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1612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17F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B25DA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3257"/>
    <w:rsid w:val="00476630"/>
    <w:rsid w:val="00480110"/>
    <w:rsid w:val="00484CC6"/>
    <w:rsid w:val="00487C6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010E"/>
    <w:rsid w:val="004C135F"/>
    <w:rsid w:val="004C19E2"/>
    <w:rsid w:val="004C302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2B52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3488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79C1"/>
    <w:rsid w:val="00A2031B"/>
    <w:rsid w:val="00A23E55"/>
    <w:rsid w:val="00A24909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4CC9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AF5E6D"/>
    <w:rsid w:val="00B005D3"/>
    <w:rsid w:val="00B00B57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0E0A"/>
    <w:rsid w:val="00C428C3"/>
    <w:rsid w:val="00C44284"/>
    <w:rsid w:val="00C44711"/>
    <w:rsid w:val="00C46CDA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19CE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2B1B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1554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4EEF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D0FD-AA43-4185-B573-617ACA0D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15</cp:revision>
  <cp:lastPrinted>2004-03-23T21:00:00Z</cp:lastPrinted>
  <dcterms:created xsi:type="dcterms:W3CDTF">2020-06-07T23:52:00Z</dcterms:created>
  <dcterms:modified xsi:type="dcterms:W3CDTF">2020-06-11T08:33:00Z</dcterms:modified>
</cp:coreProperties>
</file>